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1E11" w:rsidRDefault="00DB1E11" w:rsidP="000A0A64">
      <w:pPr>
        <w:spacing w:line="360" w:lineRule="auto"/>
      </w:pPr>
      <w:bookmarkStart w:id="0" w:name="_GoBack"/>
      <w:bookmarkEnd w:id="0"/>
    </w:p>
    <w:p w:rsidR="0081506F" w:rsidRDefault="0081506F" w:rsidP="000A0A64">
      <w:pPr>
        <w:spacing w:line="360" w:lineRule="auto"/>
        <w:jc w:val="both"/>
        <w:rPr>
          <w:sz w:val="26"/>
          <w:szCs w:val="26"/>
        </w:rPr>
      </w:pPr>
    </w:p>
    <w:p w:rsidR="00A40262" w:rsidRDefault="00D33832" w:rsidP="000A0A64">
      <w:pPr>
        <w:spacing w:line="360" w:lineRule="auto"/>
        <w:jc w:val="both"/>
        <w:rPr>
          <w:sz w:val="26"/>
          <w:szCs w:val="26"/>
        </w:rPr>
      </w:pPr>
      <w:r>
        <w:rPr>
          <w:sz w:val="26"/>
          <w:szCs w:val="26"/>
        </w:rPr>
        <w:tab/>
      </w:r>
      <w:r w:rsidR="00A30E37">
        <w:rPr>
          <w:sz w:val="26"/>
          <w:szCs w:val="26"/>
        </w:rPr>
        <w:tab/>
      </w:r>
      <w:r w:rsidR="0081506F">
        <w:rPr>
          <w:sz w:val="26"/>
          <w:szCs w:val="26"/>
        </w:rPr>
        <w:t xml:space="preserve">El tema de la cosa juzgada es una de las cuestiones más debatidas en el derecho procesal. Así en el Derecho Romano se concebía a la res judicata como el único efecto de la sentencia que impedía proponer </w:t>
      </w:r>
      <w:r w:rsidR="00417E01">
        <w:rPr>
          <w:sz w:val="26"/>
          <w:szCs w:val="26"/>
        </w:rPr>
        <w:t xml:space="preserve">de </w:t>
      </w:r>
      <w:r w:rsidR="0081506F">
        <w:rPr>
          <w:sz w:val="26"/>
          <w:szCs w:val="26"/>
        </w:rPr>
        <w:t xml:space="preserve"> nu</w:t>
      </w:r>
      <w:r w:rsidR="00417E01">
        <w:rPr>
          <w:sz w:val="26"/>
          <w:szCs w:val="26"/>
        </w:rPr>
        <w:t xml:space="preserve">evo la misma  acción,  llegándose al extremo en el Derecho Medieval </w:t>
      </w:r>
      <w:r w:rsidR="00AC54F9">
        <w:rPr>
          <w:sz w:val="26"/>
          <w:szCs w:val="26"/>
        </w:rPr>
        <w:t>de</w:t>
      </w:r>
      <w:r w:rsidR="00417E01">
        <w:rPr>
          <w:sz w:val="26"/>
          <w:szCs w:val="26"/>
        </w:rPr>
        <w:t xml:space="preserve"> considerarla como la </w:t>
      </w:r>
      <w:r w:rsidR="00AC54F9">
        <w:rPr>
          <w:sz w:val="26"/>
          <w:szCs w:val="26"/>
        </w:rPr>
        <w:t>“</w:t>
      </w:r>
      <w:r w:rsidR="00417E01">
        <w:rPr>
          <w:sz w:val="26"/>
          <w:szCs w:val="26"/>
        </w:rPr>
        <w:t>verdad legal</w:t>
      </w:r>
      <w:r w:rsidR="00AC54F9">
        <w:rPr>
          <w:sz w:val="26"/>
          <w:szCs w:val="26"/>
        </w:rPr>
        <w:t>”</w:t>
      </w:r>
      <w:r w:rsidR="00417E01">
        <w:rPr>
          <w:sz w:val="26"/>
          <w:szCs w:val="26"/>
        </w:rPr>
        <w:t xml:space="preserve">, </w:t>
      </w:r>
      <w:r w:rsidR="00733220">
        <w:rPr>
          <w:sz w:val="26"/>
          <w:szCs w:val="26"/>
        </w:rPr>
        <w:t xml:space="preserve"> de la que se podía reducir  al </w:t>
      </w:r>
      <w:r w:rsidR="000F4947">
        <w:rPr>
          <w:sz w:val="26"/>
          <w:szCs w:val="26"/>
        </w:rPr>
        <w:t xml:space="preserve">dístico </w:t>
      </w:r>
      <w:r w:rsidR="00733220">
        <w:rPr>
          <w:sz w:val="26"/>
          <w:szCs w:val="26"/>
        </w:rPr>
        <w:t xml:space="preserve">dado por Scaccia cuando indicaba que “ la cosa juzgada hace </w:t>
      </w:r>
      <w:r w:rsidR="00A40262" w:rsidRPr="00A40262">
        <w:rPr>
          <w:sz w:val="26"/>
          <w:szCs w:val="26"/>
        </w:rPr>
        <w:t>de lo blanco negro; origina y crea cosas;</w:t>
      </w:r>
      <w:r w:rsidR="00A40262">
        <w:rPr>
          <w:sz w:val="26"/>
          <w:szCs w:val="26"/>
        </w:rPr>
        <w:t xml:space="preserve"> </w:t>
      </w:r>
      <w:r w:rsidR="00A40262" w:rsidRPr="00A40262">
        <w:rPr>
          <w:sz w:val="26"/>
          <w:szCs w:val="26"/>
        </w:rPr>
        <w:t>transforma lo cuadrado en redondo; altera los lazos de sangre y cambia lo</w:t>
      </w:r>
      <w:r w:rsidR="00733220">
        <w:rPr>
          <w:sz w:val="26"/>
          <w:szCs w:val="26"/>
        </w:rPr>
        <w:t xml:space="preserve"> </w:t>
      </w:r>
      <w:r w:rsidR="00A40262" w:rsidRPr="00A40262">
        <w:rPr>
          <w:sz w:val="26"/>
          <w:szCs w:val="26"/>
        </w:rPr>
        <w:t xml:space="preserve">falso en verdadero”, </w:t>
      </w:r>
      <w:r w:rsidR="00AC54F9">
        <w:rPr>
          <w:sz w:val="26"/>
          <w:szCs w:val="26"/>
        </w:rPr>
        <w:t xml:space="preserve"> que en la apreciación que hizo de este </w:t>
      </w:r>
      <w:r w:rsidR="00A40262" w:rsidRPr="00A40262">
        <w:rPr>
          <w:sz w:val="26"/>
          <w:szCs w:val="26"/>
        </w:rPr>
        <w:t xml:space="preserve"> Calamandrei </w:t>
      </w:r>
      <w:r w:rsidR="00CF78AF">
        <w:rPr>
          <w:sz w:val="26"/>
          <w:szCs w:val="26"/>
        </w:rPr>
        <w:t xml:space="preserve"> </w:t>
      </w:r>
      <w:r w:rsidR="000F4947">
        <w:rPr>
          <w:sz w:val="26"/>
          <w:szCs w:val="26"/>
        </w:rPr>
        <w:t xml:space="preserve">indicaba que dicho aforismo </w:t>
      </w:r>
      <w:r w:rsidR="00A40262" w:rsidRPr="00A40262">
        <w:rPr>
          <w:sz w:val="26"/>
          <w:szCs w:val="26"/>
        </w:rPr>
        <w:t>“...tan estudiado</w:t>
      </w:r>
      <w:r w:rsidR="00A40262">
        <w:rPr>
          <w:sz w:val="26"/>
          <w:szCs w:val="26"/>
        </w:rPr>
        <w:t xml:space="preserve"> </w:t>
      </w:r>
      <w:r w:rsidR="00A40262" w:rsidRPr="00A40262">
        <w:rPr>
          <w:sz w:val="26"/>
          <w:szCs w:val="26"/>
        </w:rPr>
        <w:t>por los doctores hace hoy sonreír, más, sin embargo pensándolo bien, debería</w:t>
      </w:r>
      <w:r w:rsidR="00FF62CE">
        <w:rPr>
          <w:sz w:val="26"/>
          <w:szCs w:val="26"/>
        </w:rPr>
        <w:t xml:space="preserve"> </w:t>
      </w:r>
      <w:r w:rsidR="00A40262" w:rsidRPr="00A40262">
        <w:rPr>
          <w:sz w:val="26"/>
          <w:szCs w:val="26"/>
        </w:rPr>
        <w:t>hacer temblar pues ... El juez tiene efectivamente como el mago de la fábula, el</w:t>
      </w:r>
      <w:r w:rsidR="00A40262">
        <w:rPr>
          <w:sz w:val="26"/>
          <w:szCs w:val="26"/>
        </w:rPr>
        <w:t xml:space="preserve"> </w:t>
      </w:r>
      <w:r w:rsidR="00A40262" w:rsidRPr="00A40262">
        <w:rPr>
          <w:sz w:val="26"/>
          <w:szCs w:val="26"/>
        </w:rPr>
        <w:t>sobrehumano poder de producir en el mundo del derecho las más monstruosas</w:t>
      </w:r>
      <w:r w:rsidR="00CF78AF">
        <w:rPr>
          <w:sz w:val="26"/>
          <w:szCs w:val="26"/>
        </w:rPr>
        <w:t xml:space="preserve"> </w:t>
      </w:r>
      <w:r w:rsidR="00A40262" w:rsidRPr="00A40262">
        <w:rPr>
          <w:sz w:val="26"/>
          <w:szCs w:val="26"/>
        </w:rPr>
        <w:t>metamorfosis, y de dar a las sombras apariencias eternas de verdades; y</w:t>
      </w:r>
      <w:r w:rsidR="00A40262">
        <w:rPr>
          <w:sz w:val="26"/>
          <w:szCs w:val="26"/>
        </w:rPr>
        <w:t xml:space="preserve"> </w:t>
      </w:r>
      <w:r w:rsidR="00A40262" w:rsidRPr="00A40262">
        <w:rPr>
          <w:sz w:val="26"/>
          <w:szCs w:val="26"/>
        </w:rPr>
        <w:t>porque, dentro de su mundo sentencia y verdad deben en definitiva coincidir,</w:t>
      </w:r>
      <w:r w:rsidR="00CF78AF">
        <w:rPr>
          <w:sz w:val="26"/>
          <w:szCs w:val="26"/>
        </w:rPr>
        <w:t xml:space="preserve"> </w:t>
      </w:r>
      <w:r w:rsidR="00A40262" w:rsidRPr="00A40262">
        <w:rPr>
          <w:sz w:val="26"/>
          <w:szCs w:val="26"/>
        </w:rPr>
        <w:t>puede, si la sentencia no se adapta a la verdad, reducir la verdad a la medida</w:t>
      </w:r>
      <w:r w:rsidR="00A40262">
        <w:rPr>
          <w:sz w:val="26"/>
          <w:szCs w:val="26"/>
        </w:rPr>
        <w:t xml:space="preserve"> </w:t>
      </w:r>
      <w:r w:rsidR="00A40262" w:rsidRPr="00A40262">
        <w:rPr>
          <w:sz w:val="26"/>
          <w:szCs w:val="26"/>
        </w:rPr>
        <w:t>de la sentencia”</w:t>
      </w:r>
      <w:r w:rsidR="00CF78AF">
        <w:rPr>
          <w:rStyle w:val="Refdenotaalpie"/>
          <w:sz w:val="26"/>
          <w:szCs w:val="26"/>
        </w:rPr>
        <w:footnoteReference w:id="1"/>
      </w:r>
    </w:p>
    <w:p w:rsidR="001A4C86" w:rsidRDefault="001A4C86" w:rsidP="000A0A64">
      <w:pPr>
        <w:spacing w:line="360" w:lineRule="auto"/>
        <w:jc w:val="both"/>
        <w:rPr>
          <w:sz w:val="26"/>
          <w:szCs w:val="26"/>
        </w:rPr>
      </w:pPr>
    </w:p>
    <w:p w:rsidR="001A4C86" w:rsidRDefault="001A4C86" w:rsidP="000A0A64">
      <w:pPr>
        <w:spacing w:line="360" w:lineRule="auto"/>
        <w:jc w:val="both"/>
        <w:rPr>
          <w:sz w:val="26"/>
          <w:szCs w:val="26"/>
        </w:rPr>
      </w:pPr>
      <w:r>
        <w:rPr>
          <w:sz w:val="26"/>
          <w:szCs w:val="26"/>
        </w:rPr>
        <w:tab/>
      </w:r>
      <w:r>
        <w:rPr>
          <w:sz w:val="26"/>
          <w:szCs w:val="26"/>
        </w:rPr>
        <w:tab/>
      </w:r>
      <w:r w:rsidRPr="001A4C86">
        <w:rPr>
          <w:sz w:val="26"/>
          <w:szCs w:val="26"/>
        </w:rPr>
        <w:t>La cosa juzgada significa, en general, la irrevocabilidad que adquieren los efectos de la sentencia, cuando contra ella no</w:t>
      </w:r>
      <w:r>
        <w:rPr>
          <w:sz w:val="26"/>
          <w:szCs w:val="26"/>
        </w:rPr>
        <w:t xml:space="preserve"> </w:t>
      </w:r>
      <w:r w:rsidRPr="001A4C86">
        <w:rPr>
          <w:sz w:val="26"/>
          <w:szCs w:val="26"/>
        </w:rPr>
        <w:t>procede ningún recurso que permita modificarla, o permitiéndolo, aquella no ha sido impugnada a tiempo. Se entiende</w:t>
      </w:r>
      <w:r>
        <w:rPr>
          <w:sz w:val="26"/>
          <w:szCs w:val="26"/>
        </w:rPr>
        <w:t xml:space="preserve"> </w:t>
      </w:r>
      <w:r w:rsidRPr="001A4C86">
        <w:rPr>
          <w:sz w:val="26"/>
          <w:szCs w:val="26"/>
        </w:rPr>
        <w:t>que existe cosa juzgada en sentido material, cuando a lo expuesto precedentemente se agrega la imposibilidad de que</w:t>
      </w:r>
      <w:r>
        <w:rPr>
          <w:sz w:val="26"/>
          <w:szCs w:val="26"/>
        </w:rPr>
        <w:t xml:space="preserve"> </w:t>
      </w:r>
      <w:r w:rsidRPr="001A4C86">
        <w:rPr>
          <w:sz w:val="26"/>
          <w:szCs w:val="26"/>
        </w:rPr>
        <w:t>en cualquier otro proceso se juz</w:t>
      </w:r>
      <w:r>
        <w:rPr>
          <w:sz w:val="26"/>
          <w:szCs w:val="26"/>
        </w:rPr>
        <w:t>gue lo decidido en la sentencia.</w:t>
      </w:r>
      <w:r>
        <w:rPr>
          <w:rStyle w:val="Refdenotaalpie"/>
          <w:sz w:val="26"/>
          <w:szCs w:val="26"/>
        </w:rPr>
        <w:footnoteReference w:id="2"/>
      </w:r>
    </w:p>
    <w:p w:rsidR="00A30E37" w:rsidRPr="001A4C86" w:rsidRDefault="00A30E37" w:rsidP="000A0A64">
      <w:pPr>
        <w:spacing w:line="360" w:lineRule="auto"/>
        <w:jc w:val="both"/>
        <w:rPr>
          <w:sz w:val="26"/>
          <w:szCs w:val="26"/>
        </w:rPr>
      </w:pPr>
    </w:p>
    <w:p w:rsidR="00BB2EE4" w:rsidRDefault="001A4C86" w:rsidP="000A0A64">
      <w:pPr>
        <w:spacing w:line="360" w:lineRule="auto"/>
        <w:jc w:val="both"/>
        <w:rPr>
          <w:sz w:val="26"/>
          <w:szCs w:val="26"/>
        </w:rPr>
      </w:pPr>
      <w:r>
        <w:rPr>
          <w:sz w:val="26"/>
          <w:szCs w:val="26"/>
        </w:rPr>
        <w:tab/>
      </w:r>
      <w:r>
        <w:rPr>
          <w:sz w:val="26"/>
          <w:szCs w:val="26"/>
        </w:rPr>
        <w:tab/>
        <w:t xml:space="preserve">En el mismo sentido </w:t>
      </w:r>
      <w:r w:rsidRPr="001A4C86">
        <w:rPr>
          <w:sz w:val="26"/>
          <w:szCs w:val="26"/>
        </w:rPr>
        <w:t xml:space="preserve">Palacio agrega  que </w:t>
      </w:r>
      <w:r>
        <w:rPr>
          <w:sz w:val="26"/>
          <w:szCs w:val="26"/>
        </w:rPr>
        <w:t xml:space="preserve"> “</w:t>
      </w:r>
      <w:r w:rsidRPr="001A4C86">
        <w:rPr>
          <w:sz w:val="26"/>
          <w:szCs w:val="26"/>
        </w:rPr>
        <w:t>...no constituye (...) un efecto de la sentencia, sino una</w:t>
      </w:r>
      <w:r>
        <w:rPr>
          <w:sz w:val="26"/>
          <w:szCs w:val="26"/>
        </w:rPr>
        <w:t xml:space="preserve"> </w:t>
      </w:r>
      <w:r w:rsidRPr="001A4C86">
        <w:rPr>
          <w:sz w:val="26"/>
          <w:szCs w:val="26"/>
        </w:rPr>
        <w:t>cualidad que se agrega a ella para aumentar su estabilidad...</w:t>
      </w:r>
      <w:r>
        <w:rPr>
          <w:sz w:val="26"/>
          <w:szCs w:val="26"/>
        </w:rPr>
        <w:t xml:space="preserve">” </w:t>
      </w:r>
      <w:r w:rsidRPr="001A4C86">
        <w:rPr>
          <w:sz w:val="26"/>
          <w:szCs w:val="26"/>
        </w:rPr>
        <w:t>.</w:t>
      </w:r>
      <w:r>
        <w:rPr>
          <w:rStyle w:val="Refdenotaalpie"/>
          <w:sz w:val="26"/>
          <w:szCs w:val="26"/>
        </w:rPr>
        <w:footnoteReference w:id="3"/>
      </w:r>
    </w:p>
    <w:p w:rsidR="00A30E37" w:rsidRDefault="00A30E37" w:rsidP="000A0A64">
      <w:pPr>
        <w:spacing w:line="360" w:lineRule="auto"/>
        <w:jc w:val="both"/>
        <w:rPr>
          <w:sz w:val="26"/>
          <w:szCs w:val="26"/>
        </w:rPr>
      </w:pPr>
    </w:p>
    <w:p w:rsidR="00D33832" w:rsidRDefault="00BB306C" w:rsidP="000A0A64">
      <w:pPr>
        <w:spacing w:line="360" w:lineRule="auto"/>
        <w:jc w:val="both"/>
        <w:rPr>
          <w:sz w:val="26"/>
          <w:szCs w:val="26"/>
        </w:rPr>
      </w:pPr>
      <w:r>
        <w:rPr>
          <w:sz w:val="26"/>
          <w:szCs w:val="26"/>
        </w:rPr>
        <w:tab/>
      </w:r>
      <w:r>
        <w:rPr>
          <w:sz w:val="26"/>
          <w:szCs w:val="26"/>
        </w:rPr>
        <w:tab/>
      </w:r>
      <w:r w:rsidR="004E05EA">
        <w:rPr>
          <w:sz w:val="26"/>
          <w:szCs w:val="26"/>
        </w:rPr>
        <w:t xml:space="preserve">Sin embargo aquella cualidad no debe interpretarse como inmutabilidad </w:t>
      </w:r>
      <w:r w:rsidR="004E05EA" w:rsidRPr="004E05EA">
        <w:rPr>
          <w:sz w:val="26"/>
          <w:szCs w:val="26"/>
        </w:rPr>
        <w:t>absoluta, sino que</w:t>
      </w:r>
      <w:r w:rsidR="00D33832">
        <w:rPr>
          <w:sz w:val="26"/>
          <w:szCs w:val="26"/>
        </w:rPr>
        <w:t xml:space="preserve"> </w:t>
      </w:r>
      <w:r w:rsidR="004E05EA" w:rsidRPr="004E05EA">
        <w:rPr>
          <w:sz w:val="26"/>
          <w:szCs w:val="26"/>
        </w:rPr>
        <w:t>estaba condicionada al funcionamiento eficaz del sistema jurídico, en cuanto</w:t>
      </w:r>
      <w:r w:rsidR="00D33832">
        <w:rPr>
          <w:sz w:val="26"/>
          <w:szCs w:val="26"/>
        </w:rPr>
        <w:t xml:space="preserve"> </w:t>
      </w:r>
      <w:r w:rsidR="004E05EA" w:rsidRPr="004E05EA">
        <w:rPr>
          <w:sz w:val="26"/>
          <w:szCs w:val="26"/>
        </w:rPr>
        <w:t>éste tiende a una efectiva prestación de justicia. Y así se afirma que nada, ni</w:t>
      </w:r>
      <w:r w:rsidR="00D33832">
        <w:rPr>
          <w:sz w:val="26"/>
          <w:szCs w:val="26"/>
        </w:rPr>
        <w:t xml:space="preserve"> </w:t>
      </w:r>
      <w:r w:rsidR="004E05EA" w:rsidRPr="004E05EA">
        <w:rPr>
          <w:sz w:val="26"/>
          <w:szCs w:val="26"/>
        </w:rPr>
        <w:t>aún la seguridad que pueda brindar la “cosa juzgada”, justifica una sentencia</w:t>
      </w:r>
      <w:r w:rsidR="00D33832">
        <w:rPr>
          <w:sz w:val="26"/>
          <w:szCs w:val="26"/>
        </w:rPr>
        <w:t xml:space="preserve"> </w:t>
      </w:r>
      <w:r w:rsidR="004E05EA" w:rsidRPr="004E05EA">
        <w:rPr>
          <w:sz w:val="26"/>
          <w:szCs w:val="26"/>
        </w:rPr>
        <w:t>injusta, porque “la seguridad” también consiste en evitar el escándalo de un</w:t>
      </w:r>
      <w:r w:rsidR="00D33832">
        <w:rPr>
          <w:sz w:val="26"/>
          <w:szCs w:val="26"/>
        </w:rPr>
        <w:t xml:space="preserve"> </w:t>
      </w:r>
      <w:r w:rsidR="004E05EA" w:rsidRPr="004E05EA">
        <w:rPr>
          <w:sz w:val="26"/>
          <w:szCs w:val="26"/>
        </w:rPr>
        <w:t>fallo producido en un proceso en el que no se cumplieron las formas jurídicas</w:t>
      </w:r>
      <w:r w:rsidR="00D33832">
        <w:rPr>
          <w:sz w:val="26"/>
          <w:szCs w:val="26"/>
        </w:rPr>
        <w:t xml:space="preserve"> </w:t>
      </w:r>
      <w:r w:rsidR="004E05EA" w:rsidRPr="004E05EA">
        <w:rPr>
          <w:sz w:val="26"/>
          <w:szCs w:val="26"/>
        </w:rPr>
        <w:t>ni se respetaron los derechos y garantías de las partes.</w:t>
      </w:r>
      <w:r w:rsidR="00D33832">
        <w:rPr>
          <w:sz w:val="26"/>
          <w:szCs w:val="26"/>
        </w:rPr>
        <w:t xml:space="preserve"> </w:t>
      </w:r>
    </w:p>
    <w:p w:rsidR="00D33832" w:rsidRDefault="00D33832" w:rsidP="000A0A64">
      <w:pPr>
        <w:spacing w:line="360" w:lineRule="auto"/>
        <w:jc w:val="both"/>
        <w:rPr>
          <w:sz w:val="26"/>
          <w:szCs w:val="26"/>
        </w:rPr>
      </w:pPr>
    </w:p>
    <w:p w:rsidR="00BB306C" w:rsidRDefault="00D33832" w:rsidP="000A0A64">
      <w:pPr>
        <w:spacing w:line="360" w:lineRule="auto"/>
        <w:jc w:val="both"/>
        <w:rPr>
          <w:sz w:val="26"/>
          <w:szCs w:val="26"/>
        </w:rPr>
      </w:pPr>
      <w:r>
        <w:rPr>
          <w:sz w:val="26"/>
          <w:szCs w:val="26"/>
        </w:rPr>
        <w:tab/>
      </w:r>
      <w:r>
        <w:rPr>
          <w:sz w:val="26"/>
          <w:szCs w:val="26"/>
        </w:rPr>
        <w:tab/>
      </w:r>
      <w:r w:rsidR="00833511">
        <w:rPr>
          <w:sz w:val="26"/>
          <w:szCs w:val="26"/>
        </w:rPr>
        <w:t>Entrando en la posibilidad de remover</w:t>
      </w:r>
      <w:r w:rsidR="00A10971">
        <w:rPr>
          <w:sz w:val="26"/>
          <w:szCs w:val="26"/>
        </w:rPr>
        <w:t xml:space="preserve"> esta cosa juzgada </w:t>
      </w:r>
      <w:r w:rsidR="00BB306C" w:rsidRPr="00BB306C">
        <w:rPr>
          <w:sz w:val="26"/>
          <w:szCs w:val="26"/>
        </w:rPr>
        <w:t>Carnelutti ad</w:t>
      </w:r>
      <w:r w:rsidR="00A30E37">
        <w:rPr>
          <w:sz w:val="26"/>
          <w:szCs w:val="26"/>
        </w:rPr>
        <w:t>mite</w:t>
      </w:r>
      <w:r w:rsidR="00BB306C" w:rsidRPr="00BB306C">
        <w:rPr>
          <w:sz w:val="26"/>
          <w:szCs w:val="26"/>
        </w:rPr>
        <w:t xml:space="preserve"> la posibilidad revocatoria frente a sentencias cuya</w:t>
      </w:r>
      <w:r w:rsidR="00BB306C">
        <w:rPr>
          <w:sz w:val="26"/>
          <w:szCs w:val="26"/>
        </w:rPr>
        <w:t xml:space="preserve"> </w:t>
      </w:r>
      <w:r w:rsidR="00BB306C" w:rsidRPr="00BB306C">
        <w:rPr>
          <w:sz w:val="26"/>
          <w:szCs w:val="26"/>
        </w:rPr>
        <w:t>injusticia aparezca socialmente intolerable, hasta el extremo de excluir la</w:t>
      </w:r>
      <w:r>
        <w:rPr>
          <w:sz w:val="26"/>
          <w:szCs w:val="26"/>
        </w:rPr>
        <w:t xml:space="preserve"> </w:t>
      </w:r>
      <w:r w:rsidR="00BB306C" w:rsidRPr="00BB306C">
        <w:rPr>
          <w:sz w:val="26"/>
          <w:szCs w:val="26"/>
        </w:rPr>
        <w:t>“inmutabilidad”, señalando que en los supuestos de colusión o dolo entre</w:t>
      </w:r>
      <w:r w:rsidR="00BB306C">
        <w:rPr>
          <w:sz w:val="26"/>
          <w:szCs w:val="26"/>
        </w:rPr>
        <w:t xml:space="preserve"> </w:t>
      </w:r>
      <w:r w:rsidR="00BB306C" w:rsidRPr="00BB306C">
        <w:rPr>
          <w:sz w:val="26"/>
          <w:szCs w:val="26"/>
        </w:rPr>
        <w:t>las partes hay sentencia inexistente, pues en el proceso fraudulento hay solo</w:t>
      </w:r>
      <w:r>
        <w:rPr>
          <w:sz w:val="26"/>
          <w:szCs w:val="26"/>
        </w:rPr>
        <w:t xml:space="preserve"> </w:t>
      </w:r>
      <w:r w:rsidR="00BB306C" w:rsidRPr="00BB306C">
        <w:rPr>
          <w:sz w:val="26"/>
          <w:szCs w:val="26"/>
        </w:rPr>
        <w:t>apariencia de proceso y decisión</w:t>
      </w:r>
      <w:r w:rsidR="00A10971">
        <w:rPr>
          <w:sz w:val="26"/>
          <w:szCs w:val="26"/>
        </w:rPr>
        <w:t>, lo que tornaría necesaria la revisión de dicho pronunciamiento judicial</w:t>
      </w:r>
      <w:r w:rsidR="00BB306C" w:rsidRPr="00BB306C">
        <w:rPr>
          <w:sz w:val="26"/>
          <w:szCs w:val="26"/>
        </w:rPr>
        <w:t>.</w:t>
      </w:r>
      <w:r w:rsidR="00BB306C">
        <w:rPr>
          <w:rStyle w:val="Refdenotaalpie"/>
          <w:sz w:val="26"/>
          <w:szCs w:val="26"/>
        </w:rPr>
        <w:footnoteReference w:id="4"/>
      </w:r>
    </w:p>
    <w:p w:rsidR="00A10971" w:rsidRDefault="00A10971" w:rsidP="000A0A64">
      <w:pPr>
        <w:spacing w:line="360" w:lineRule="auto"/>
        <w:jc w:val="both"/>
        <w:rPr>
          <w:sz w:val="26"/>
          <w:szCs w:val="26"/>
        </w:rPr>
      </w:pPr>
    </w:p>
    <w:p w:rsidR="00A10971" w:rsidRDefault="00A10971" w:rsidP="000A0A64">
      <w:pPr>
        <w:spacing w:line="360" w:lineRule="auto"/>
        <w:jc w:val="both"/>
        <w:rPr>
          <w:sz w:val="26"/>
          <w:szCs w:val="26"/>
        </w:rPr>
      </w:pPr>
      <w:r>
        <w:rPr>
          <w:sz w:val="26"/>
          <w:szCs w:val="26"/>
        </w:rPr>
        <w:tab/>
      </w:r>
      <w:r>
        <w:rPr>
          <w:sz w:val="26"/>
          <w:szCs w:val="26"/>
        </w:rPr>
        <w:tab/>
      </w:r>
      <w:r w:rsidRPr="00A10971">
        <w:rPr>
          <w:sz w:val="26"/>
          <w:szCs w:val="26"/>
        </w:rPr>
        <w:t>La Corte IDH ha dicho que la acción de revisión constituye un mecanismo excepcional con el fin de evitar que la cosa juzgada mantenga una situación de evidente injusticia debido al descubrimiento de un hecho que de haberse conocido al momento de dictarse la sentencia hubiese modificado su resultado</w:t>
      </w:r>
      <w:r w:rsidR="00BA185A">
        <w:rPr>
          <w:rStyle w:val="Refdenotaalpie"/>
          <w:sz w:val="26"/>
          <w:szCs w:val="26"/>
        </w:rPr>
        <w:footnoteReference w:id="5"/>
      </w:r>
      <w:r w:rsidRPr="00A10971">
        <w:rPr>
          <w:sz w:val="26"/>
          <w:szCs w:val="26"/>
        </w:rPr>
        <w:t>.</w:t>
      </w:r>
    </w:p>
    <w:p w:rsidR="00A10971" w:rsidRDefault="00A10971" w:rsidP="000A0A64">
      <w:pPr>
        <w:spacing w:line="360" w:lineRule="auto"/>
        <w:jc w:val="both"/>
        <w:rPr>
          <w:sz w:val="26"/>
          <w:szCs w:val="26"/>
        </w:rPr>
      </w:pPr>
    </w:p>
    <w:p w:rsidR="00A10971" w:rsidRDefault="00A10971" w:rsidP="000A0A64">
      <w:pPr>
        <w:spacing w:line="360" w:lineRule="auto"/>
        <w:jc w:val="both"/>
        <w:rPr>
          <w:sz w:val="26"/>
          <w:szCs w:val="26"/>
        </w:rPr>
      </w:pPr>
      <w:r>
        <w:rPr>
          <w:sz w:val="26"/>
          <w:szCs w:val="26"/>
        </w:rPr>
        <w:tab/>
      </w:r>
      <w:r>
        <w:rPr>
          <w:sz w:val="26"/>
          <w:szCs w:val="26"/>
        </w:rPr>
        <w:tab/>
      </w:r>
      <w:r w:rsidR="00911F44">
        <w:rPr>
          <w:sz w:val="26"/>
          <w:szCs w:val="26"/>
        </w:rPr>
        <w:t>Es por ello que cuando hablamos de l</w:t>
      </w:r>
      <w:r>
        <w:rPr>
          <w:sz w:val="26"/>
          <w:szCs w:val="26"/>
        </w:rPr>
        <w:t>a acción autónoma de nulidad o “</w:t>
      </w:r>
      <w:r w:rsidRPr="00A10971">
        <w:rPr>
          <w:sz w:val="26"/>
          <w:szCs w:val="26"/>
        </w:rPr>
        <w:t>pretensión autónoma de revisión</w:t>
      </w:r>
      <w:r>
        <w:rPr>
          <w:sz w:val="26"/>
          <w:szCs w:val="26"/>
        </w:rPr>
        <w:t xml:space="preserve">” o como lo apunta la norma del Código Procesal Civil recientemente sancionado (ley 9001) “acción autónoma de revisión de la cosa juzgada” </w:t>
      </w:r>
      <w:r w:rsidR="00EF65D3">
        <w:rPr>
          <w:sz w:val="26"/>
          <w:szCs w:val="26"/>
        </w:rPr>
        <w:t>nos vamos a referir al</w:t>
      </w:r>
      <w:r>
        <w:rPr>
          <w:sz w:val="26"/>
          <w:szCs w:val="26"/>
        </w:rPr>
        <w:t xml:space="preserve"> “</w:t>
      </w:r>
      <w:r w:rsidRPr="00A10971">
        <w:rPr>
          <w:sz w:val="26"/>
          <w:szCs w:val="26"/>
        </w:rPr>
        <w:t xml:space="preserve"> ejercicio de un poder jurídico que se concreta y exterioriza en una demanda principal introductiva de la instancia, que origina un proceso autónomo por el que se procura obtener, mediante decisión expresa y positiva, una declaración de invalidez de los actos procesales ejecutados en un proceso ya fenecido y cuya sentencia ha pasado en autoridad de cosa juzgada</w:t>
      </w:r>
      <w:r>
        <w:rPr>
          <w:sz w:val="26"/>
          <w:szCs w:val="26"/>
        </w:rPr>
        <w:t>”</w:t>
      </w:r>
      <w:r w:rsidRPr="00A10971">
        <w:rPr>
          <w:sz w:val="26"/>
          <w:szCs w:val="26"/>
        </w:rPr>
        <w:t>.</w:t>
      </w:r>
      <w:r>
        <w:rPr>
          <w:rStyle w:val="Refdenotaalpie"/>
          <w:sz w:val="26"/>
          <w:szCs w:val="26"/>
        </w:rPr>
        <w:footnoteReference w:id="6"/>
      </w:r>
    </w:p>
    <w:p w:rsidR="00EF65D3" w:rsidRDefault="00EF65D3" w:rsidP="000A0A64">
      <w:pPr>
        <w:spacing w:line="360" w:lineRule="auto"/>
        <w:jc w:val="both"/>
        <w:rPr>
          <w:sz w:val="26"/>
          <w:szCs w:val="26"/>
        </w:rPr>
      </w:pPr>
    </w:p>
    <w:p w:rsidR="00EF65D3" w:rsidRDefault="00EF65D3" w:rsidP="000A0A64">
      <w:pPr>
        <w:spacing w:line="360" w:lineRule="auto"/>
        <w:jc w:val="both"/>
        <w:rPr>
          <w:sz w:val="26"/>
          <w:szCs w:val="26"/>
        </w:rPr>
      </w:pPr>
      <w:r>
        <w:rPr>
          <w:sz w:val="26"/>
          <w:szCs w:val="26"/>
        </w:rPr>
        <w:tab/>
      </w:r>
      <w:r>
        <w:rPr>
          <w:sz w:val="26"/>
          <w:szCs w:val="26"/>
        </w:rPr>
        <w:tab/>
        <w:t>Evidentemente con todos los valores en juego que entraña la posibilidad de remo</w:t>
      </w:r>
      <w:r w:rsidR="00BA589F">
        <w:rPr>
          <w:sz w:val="26"/>
          <w:szCs w:val="26"/>
        </w:rPr>
        <w:t xml:space="preserve">ver </w:t>
      </w:r>
      <w:r>
        <w:rPr>
          <w:sz w:val="26"/>
          <w:szCs w:val="26"/>
        </w:rPr>
        <w:t xml:space="preserve"> esta cosa juzgada</w:t>
      </w:r>
      <w:r w:rsidR="00BA589F">
        <w:rPr>
          <w:sz w:val="26"/>
          <w:szCs w:val="26"/>
        </w:rPr>
        <w:t xml:space="preserve">, </w:t>
      </w:r>
      <w:r w:rsidR="00A30E37">
        <w:rPr>
          <w:sz w:val="26"/>
          <w:szCs w:val="26"/>
        </w:rPr>
        <w:t xml:space="preserve"> la</w:t>
      </w:r>
      <w:r w:rsidR="00BA589F">
        <w:rPr>
          <w:sz w:val="26"/>
          <w:szCs w:val="26"/>
        </w:rPr>
        <w:t xml:space="preserve"> procedencia </w:t>
      </w:r>
      <w:r w:rsidR="00A30E37">
        <w:rPr>
          <w:sz w:val="26"/>
          <w:szCs w:val="26"/>
        </w:rPr>
        <w:t xml:space="preserve">de la misma </w:t>
      </w:r>
      <w:r w:rsidR="00BA589F">
        <w:rPr>
          <w:sz w:val="26"/>
          <w:szCs w:val="26"/>
        </w:rPr>
        <w:t>debe</w:t>
      </w:r>
      <w:r w:rsidR="00A30E37">
        <w:rPr>
          <w:sz w:val="26"/>
          <w:szCs w:val="26"/>
        </w:rPr>
        <w:t xml:space="preserve"> hacerse </w:t>
      </w:r>
      <w:r w:rsidRPr="00EF65D3">
        <w:rPr>
          <w:sz w:val="26"/>
          <w:szCs w:val="26"/>
        </w:rPr>
        <w:t xml:space="preserve">con criterio restrictivo y de acuerdo a los parámetros que la doctrina y la jurisprudencia </w:t>
      </w:r>
      <w:r w:rsidR="00D06F25">
        <w:rPr>
          <w:sz w:val="26"/>
          <w:szCs w:val="26"/>
        </w:rPr>
        <w:t xml:space="preserve">han ido </w:t>
      </w:r>
      <w:r w:rsidR="00A30E37">
        <w:rPr>
          <w:sz w:val="26"/>
          <w:szCs w:val="26"/>
        </w:rPr>
        <w:t xml:space="preserve"> perfilando en </w:t>
      </w:r>
      <w:r w:rsidR="00D06F25">
        <w:rPr>
          <w:sz w:val="26"/>
          <w:szCs w:val="26"/>
        </w:rPr>
        <w:t xml:space="preserve">referencia a </w:t>
      </w:r>
      <w:r w:rsidR="00A30E37">
        <w:rPr>
          <w:sz w:val="26"/>
          <w:szCs w:val="26"/>
        </w:rPr>
        <w:t xml:space="preserve">este </w:t>
      </w:r>
      <w:r w:rsidRPr="00EF65D3">
        <w:rPr>
          <w:sz w:val="26"/>
          <w:szCs w:val="26"/>
        </w:rPr>
        <w:t xml:space="preserve">instituto. </w:t>
      </w:r>
      <w:r w:rsidR="00D06F25">
        <w:rPr>
          <w:sz w:val="26"/>
          <w:szCs w:val="26"/>
        </w:rPr>
        <w:t xml:space="preserve">Por consiguiente este remedio debe admitirse con criterio excepcional y no podría </w:t>
      </w:r>
      <w:r w:rsidR="00A30E37">
        <w:rPr>
          <w:sz w:val="26"/>
          <w:szCs w:val="26"/>
        </w:rPr>
        <w:t xml:space="preserve"> </w:t>
      </w:r>
      <w:r w:rsidRPr="00EF65D3">
        <w:rPr>
          <w:sz w:val="26"/>
          <w:szCs w:val="26"/>
        </w:rPr>
        <w:t>utilizarse para superar deficiencias de procedimiento aparecidas durante la tramitación de la causa o errores de criterio que puede contener la decisión</w:t>
      </w:r>
      <w:r w:rsidR="00D06F25">
        <w:rPr>
          <w:sz w:val="26"/>
          <w:szCs w:val="26"/>
        </w:rPr>
        <w:t xml:space="preserve">, pues estos tanto son suplidos mediante la actividad </w:t>
      </w:r>
      <w:r w:rsidRPr="00EF65D3">
        <w:rPr>
          <w:sz w:val="26"/>
          <w:szCs w:val="26"/>
        </w:rPr>
        <w:t>recursiva (ordinaria o extraordinaria).</w:t>
      </w:r>
    </w:p>
    <w:p w:rsidR="005E34D2" w:rsidRDefault="005E34D2" w:rsidP="000A0A64">
      <w:pPr>
        <w:spacing w:line="360" w:lineRule="auto"/>
        <w:jc w:val="both"/>
        <w:rPr>
          <w:sz w:val="26"/>
          <w:szCs w:val="26"/>
        </w:rPr>
      </w:pPr>
    </w:p>
    <w:p w:rsidR="00B03B22" w:rsidRDefault="005E34D2" w:rsidP="000A0A64">
      <w:pPr>
        <w:spacing w:line="360" w:lineRule="auto"/>
        <w:jc w:val="both"/>
        <w:rPr>
          <w:sz w:val="26"/>
          <w:szCs w:val="26"/>
        </w:rPr>
      </w:pPr>
      <w:r>
        <w:rPr>
          <w:sz w:val="26"/>
          <w:szCs w:val="26"/>
        </w:rPr>
        <w:tab/>
      </w:r>
      <w:r>
        <w:rPr>
          <w:sz w:val="26"/>
          <w:szCs w:val="26"/>
        </w:rPr>
        <w:tab/>
        <w:t>Parafraseando a la Corte Provincial quien indica que “</w:t>
      </w:r>
      <w:r w:rsidRPr="005E34D2">
        <w:rPr>
          <w:sz w:val="26"/>
          <w:szCs w:val="26"/>
        </w:rPr>
        <w:t>el principio de la cosa juzgada cede en casos excepcionales, cuando el ordenamiento, visto en su totalidad, no puede aceptar una solución irracional, ilógica, que choca decididamente contra hechos indiscutidos y principios jurídicos mayoritariamente aceptados.</w:t>
      </w:r>
      <w:r>
        <w:rPr>
          <w:sz w:val="26"/>
          <w:szCs w:val="26"/>
        </w:rPr>
        <w:t>”</w:t>
      </w:r>
      <w:r>
        <w:rPr>
          <w:rStyle w:val="Refdenotaalpie"/>
          <w:sz w:val="26"/>
          <w:szCs w:val="26"/>
        </w:rPr>
        <w:footnoteReference w:id="7"/>
      </w:r>
    </w:p>
    <w:p w:rsidR="00B03B22" w:rsidRDefault="00B03B22" w:rsidP="000A0A64">
      <w:pPr>
        <w:spacing w:line="360" w:lineRule="auto"/>
        <w:jc w:val="both"/>
        <w:rPr>
          <w:sz w:val="26"/>
          <w:szCs w:val="26"/>
        </w:rPr>
      </w:pPr>
    </w:p>
    <w:p w:rsidR="00A40262" w:rsidRDefault="00F8243A" w:rsidP="000A0A64">
      <w:pPr>
        <w:spacing w:line="360" w:lineRule="auto"/>
        <w:jc w:val="both"/>
      </w:pPr>
      <w:r>
        <w:tab/>
      </w:r>
      <w:r>
        <w:tab/>
      </w:r>
      <w:r w:rsidR="00B03B22" w:rsidRPr="00B03B22">
        <w:t>Andrés Gil Domínguez</w:t>
      </w:r>
      <w:r w:rsidR="00E421DA">
        <w:t xml:space="preserve"> indica </w:t>
      </w:r>
      <w:r w:rsidR="00B03B22" w:rsidRPr="00B03B22">
        <w:t xml:space="preserve"> que: “La revisibilidad de la cosa juzgada írrita tiene raigambre constitucional, y consecuentemente, se deriva del propio paradigma constitucional argentino”</w:t>
      </w:r>
      <w:r w:rsidR="00B03B22">
        <w:t>, agrega que un</w:t>
      </w:r>
      <w:r w:rsidR="00B03B22" w:rsidRPr="00B03B22">
        <w:t>a sentencia como acto de un órgano de poder que vulnera derechos fundamentales, no está habilitada como tal aunque esgrima el ropaje formal de la cosa juzgada, por cuanto al colisionar con el orden público constitucional, lo procesal (de naturaleza instrumental) queda subsumido a lo estructural (determinado por la dimensión de los derechos fundamentales).</w:t>
      </w:r>
      <w:r w:rsidR="00E421DA">
        <w:rPr>
          <w:rStyle w:val="Refdenotaalpie"/>
        </w:rPr>
        <w:footnoteReference w:id="8"/>
      </w:r>
    </w:p>
    <w:p w:rsidR="00E421DA" w:rsidRDefault="00E421DA" w:rsidP="000A0A64">
      <w:pPr>
        <w:spacing w:line="360" w:lineRule="auto"/>
        <w:jc w:val="both"/>
      </w:pPr>
    </w:p>
    <w:p w:rsidR="00E421DA" w:rsidRDefault="00E421DA" w:rsidP="000A0A64">
      <w:pPr>
        <w:spacing w:line="360" w:lineRule="auto"/>
        <w:jc w:val="both"/>
      </w:pPr>
      <w:r>
        <w:tab/>
      </w:r>
      <w:r>
        <w:tab/>
        <w:t xml:space="preserve">Atento a que una de las motivaciones principales por los cuales se reformó el Código Procesal Civil mendocino se encontraba radicado en la adecuación del mismo a las disposiciones contenidas en el Código Civil  y Comercial de la Nación, </w:t>
      </w:r>
      <w:r w:rsidR="00157BDA">
        <w:t>é</w:t>
      </w:r>
      <w:r>
        <w:t>ste en oportunidad de fijar los plazos de</w:t>
      </w:r>
      <w:r w:rsidR="00157BDA">
        <w:t xml:space="preserve"> prescripción de las acciones, norma en forma específica en relación a la </w:t>
      </w:r>
      <w:r>
        <w:t xml:space="preserve"> interposición de la retracción de la res judicata, </w:t>
      </w:r>
      <w:r w:rsidR="00157BDA">
        <w:t>esta</w:t>
      </w:r>
      <w:r>
        <w:t xml:space="preserve">bleciendo un plazo prescriptivo cuando la vía para canalizar la pretensión sea la acción autónoma </w:t>
      </w:r>
      <w:r w:rsidR="00157BDA">
        <w:t xml:space="preserve">en el </w:t>
      </w:r>
      <w:r>
        <w:t xml:space="preserve"> art. 2564 inc. f del CCCN</w:t>
      </w:r>
      <w:r w:rsidR="00157BDA">
        <w:t>, fijándoselo en el plazo de un año, lo que llevó a los redactores</w:t>
      </w:r>
      <w:r w:rsidR="00A02E1C">
        <w:t xml:space="preserve"> del mencionado cuerpo legal </w:t>
      </w:r>
      <w:r w:rsidR="00157BDA">
        <w:t xml:space="preserve"> a la necesidad de contar con la norma específica que hasta dicha fecha y si bien con soporte constitucional, sus </w:t>
      </w:r>
      <w:r w:rsidR="00A02E1C">
        <w:t>lineamientos</w:t>
      </w:r>
      <w:r w:rsidR="00157BDA">
        <w:t xml:space="preserve"> fueron</w:t>
      </w:r>
      <w:r w:rsidR="00A02E1C">
        <w:t xml:space="preserve"> obra de creación pretoriana y doctrinal</w:t>
      </w:r>
      <w:r w:rsidR="00A02E1C">
        <w:rPr>
          <w:rStyle w:val="Refdenotaalpie"/>
        </w:rPr>
        <w:footnoteReference w:id="9"/>
      </w:r>
      <w:r w:rsidR="00157BDA">
        <w:t xml:space="preserve"> </w:t>
      </w:r>
    </w:p>
    <w:p w:rsidR="00A02E1C" w:rsidRDefault="00A02E1C" w:rsidP="000A0A64">
      <w:pPr>
        <w:spacing w:line="360" w:lineRule="auto"/>
        <w:jc w:val="both"/>
      </w:pPr>
    </w:p>
    <w:p w:rsidR="00DF42AF" w:rsidRDefault="00A02E1C" w:rsidP="000A0A64">
      <w:pPr>
        <w:spacing w:line="360" w:lineRule="auto"/>
        <w:jc w:val="both"/>
      </w:pPr>
      <w:r>
        <w:tab/>
      </w:r>
      <w:r>
        <w:tab/>
        <w:t xml:space="preserve">La norma </w:t>
      </w:r>
      <w:r w:rsidR="005C6440">
        <w:t xml:space="preserve">indicada respeta los lineamientos que doctrinaria y jurisprudencialmente venían fijándose sobre el tema al disponer una acción autónoma de revisión con entidad, objeto y finalidad </w:t>
      </w:r>
      <w:r w:rsidR="004B2543">
        <w:t>distinta</w:t>
      </w:r>
      <w:r w:rsidR="005C6440">
        <w:t xml:space="preserve"> a los recursos ordinarios previstos</w:t>
      </w:r>
      <w:r w:rsidR="004B2543">
        <w:t xml:space="preserve"> y que frente al silencio de la ley (hoy ya salvado el tema) generó el mencionado debate.</w:t>
      </w:r>
      <w:r w:rsidR="004B2543">
        <w:rPr>
          <w:rStyle w:val="Refdenotaalpie"/>
        </w:rPr>
        <w:footnoteReference w:id="10"/>
      </w:r>
      <w:r w:rsidR="005C6440">
        <w:t xml:space="preserve"> </w:t>
      </w:r>
      <w:r>
        <w:t xml:space="preserve"> </w:t>
      </w:r>
    </w:p>
    <w:p w:rsidR="00DF42AF" w:rsidRDefault="00DF42AF" w:rsidP="000A0A64">
      <w:pPr>
        <w:spacing w:line="360" w:lineRule="auto"/>
        <w:jc w:val="both"/>
      </w:pPr>
    </w:p>
    <w:p w:rsidR="00A40262" w:rsidRDefault="00DF42AF" w:rsidP="000A0A64">
      <w:pPr>
        <w:spacing w:line="360" w:lineRule="auto"/>
        <w:jc w:val="both"/>
        <w:rPr>
          <w:bCs w:val="0"/>
          <w:color w:val="000000"/>
          <w:spacing w:val="0"/>
          <w:lang w:val="es-AR" w:eastAsia="es-AR"/>
        </w:rPr>
      </w:pPr>
      <w:r>
        <w:tab/>
      </w:r>
      <w:r>
        <w:tab/>
        <w:t xml:space="preserve">Es así que indica en art.  231 CPC en su primera parte que  </w:t>
      </w:r>
      <w:r w:rsidRPr="00457759">
        <w:rPr>
          <w:i/>
        </w:rPr>
        <w:t>“</w:t>
      </w:r>
      <w:r w:rsidR="00A40262" w:rsidRPr="00457759">
        <w:rPr>
          <w:bCs w:val="0"/>
          <w:i/>
          <w:color w:val="000000"/>
          <w:spacing w:val="0"/>
          <w:lang w:val="es-AR" w:eastAsia="es-AR"/>
        </w:rPr>
        <w:t>La acción autónoma de revisión de la cosa juzgada tiene por objeto hacer posible un nuevo examen de conocimiento de procesos finiquitados por sentencia pasada en autoridad de cosa juzgada, con el fin de reparar agravios que no pudieren ser subsanados por otra vía judicial. La admisibilidad de la pretensión se realizará con criterio restrictivo</w:t>
      </w:r>
      <w:r w:rsidRPr="00457759">
        <w:rPr>
          <w:bCs w:val="0"/>
          <w:i/>
          <w:color w:val="000000"/>
          <w:spacing w:val="0"/>
          <w:lang w:val="es-AR" w:eastAsia="es-AR"/>
        </w:rPr>
        <w:t>…..”</w:t>
      </w:r>
      <w:r w:rsidR="006A2BCC">
        <w:rPr>
          <w:rStyle w:val="Refdenotaalpie"/>
          <w:bCs w:val="0"/>
          <w:color w:val="000000"/>
          <w:spacing w:val="0"/>
          <w:lang w:val="es-AR" w:eastAsia="es-AR"/>
        </w:rPr>
        <w:footnoteReference w:id="11"/>
      </w:r>
    </w:p>
    <w:p w:rsidR="00457759" w:rsidRDefault="00457759" w:rsidP="000A0A64">
      <w:pPr>
        <w:spacing w:line="360" w:lineRule="auto"/>
        <w:jc w:val="both"/>
        <w:rPr>
          <w:bCs w:val="0"/>
          <w:color w:val="000000"/>
          <w:spacing w:val="0"/>
          <w:lang w:val="es-AR" w:eastAsia="es-AR"/>
        </w:rPr>
      </w:pPr>
    </w:p>
    <w:p w:rsidR="00C15D1B" w:rsidRDefault="00457759" w:rsidP="000A0A64">
      <w:pPr>
        <w:spacing w:line="360" w:lineRule="auto"/>
        <w:jc w:val="both"/>
        <w:rPr>
          <w:bCs w:val="0"/>
          <w:color w:val="000000"/>
          <w:spacing w:val="0"/>
          <w:lang w:val="es-AR" w:eastAsia="es-AR"/>
        </w:rPr>
      </w:pPr>
      <w:r>
        <w:rPr>
          <w:bCs w:val="0"/>
          <w:color w:val="000000"/>
          <w:spacing w:val="0"/>
          <w:lang w:val="es-AR" w:eastAsia="es-AR"/>
        </w:rPr>
        <w:tab/>
      </w:r>
      <w:r>
        <w:rPr>
          <w:bCs w:val="0"/>
          <w:color w:val="000000"/>
          <w:spacing w:val="0"/>
          <w:lang w:val="es-AR" w:eastAsia="es-AR"/>
        </w:rPr>
        <w:tab/>
        <w:t>Conforme a los principios que la informan puede concluirse que</w:t>
      </w:r>
      <w:r w:rsidR="00C15D1B">
        <w:rPr>
          <w:bCs w:val="0"/>
          <w:color w:val="000000"/>
          <w:spacing w:val="0"/>
          <w:lang w:val="es-AR" w:eastAsia="es-AR"/>
        </w:rPr>
        <w:t xml:space="preserve"> esta acción se encuentra dotada de los siguientes caracteres: </w:t>
      </w:r>
    </w:p>
    <w:p w:rsidR="00C15D1B" w:rsidRDefault="00C15D1B" w:rsidP="000A0A64">
      <w:pPr>
        <w:pStyle w:val="Prrafodelista"/>
        <w:numPr>
          <w:ilvl w:val="0"/>
          <w:numId w:val="1"/>
        </w:numPr>
        <w:spacing w:line="360" w:lineRule="auto"/>
        <w:jc w:val="both"/>
        <w:rPr>
          <w:bCs w:val="0"/>
          <w:color w:val="000000"/>
          <w:spacing w:val="0"/>
          <w:lang w:val="es-AR" w:eastAsia="es-AR"/>
        </w:rPr>
      </w:pPr>
      <w:r w:rsidRPr="00C15D1B">
        <w:rPr>
          <w:bCs w:val="0"/>
          <w:color w:val="000000"/>
          <w:spacing w:val="0"/>
          <w:lang w:val="es-AR" w:eastAsia="es-AR"/>
        </w:rPr>
        <w:t>A</w:t>
      </w:r>
      <w:r w:rsidR="00457759" w:rsidRPr="00C15D1B">
        <w:rPr>
          <w:bCs w:val="0"/>
          <w:color w:val="000000"/>
          <w:spacing w:val="0"/>
          <w:lang w:val="es-AR" w:eastAsia="es-AR"/>
        </w:rPr>
        <w:t>utónoma</w:t>
      </w:r>
      <w:r>
        <w:rPr>
          <w:bCs w:val="0"/>
          <w:color w:val="000000"/>
          <w:spacing w:val="0"/>
          <w:lang w:val="es-AR" w:eastAsia="es-AR"/>
        </w:rPr>
        <w:t xml:space="preserve">, al generar una </w:t>
      </w:r>
      <w:r w:rsidR="00457759" w:rsidRPr="00C15D1B">
        <w:rPr>
          <w:bCs w:val="0"/>
          <w:color w:val="000000"/>
          <w:spacing w:val="0"/>
          <w:lang w:val="es-AR" w:eastAsia="es-AR"/>
        </w:rPr>
        <w:t xml:space="preserve">nueva instancia distinta de la que se </w:t>
      </w:r>
      <w:r>
        <w:rPr>
          <w:bCs w:val="0"/>
          <w:color w:val="000000"/>
          <w:spacing w:val="0"/>
          <w:lang w:val="es-AR" w:eastAsia="es-AR"/>
        </w:rPr>
        <w:t>pretende destruir</w:t>
      </w:r>
    </w:p>
    <w:p w:rsidR="002305DA" w:rsidRDefault="002305DA" w:rsidP="000A0A64">
      <w:pPr>
        <w:pStyle w:val="Prrafodelista"/>
        <w:numPr>
          <w:ilvl w:val="0"/>
          <w:numId w:val="1"/>
        </w:numPr>
        <w:spacing w:line="360" w:lineRule="auto"/>
        <w:jc w:val="both"/>
        <w:rPr>
          <w:bCs w:val="0"/>
          <w:color w:val="000000"/>
          <w:spacing w:val="0"/>
          <w:lang w:val="es-AR" w:eastAsia="es-AR"/>
        </w:rPr>
      </w:pPr>
      <w:r>
        <w:rPr>
          <w:bCs w:val="0"/>
          <w:color w:val="000000"/>
          <w:spacing w:val="0"/>
          <w:lang w:val="es-AR" w:eastAsia="es-AR"/>
        </w:rPr>
        <w:t>Proceso de conocimiento pleno</w:t>
      </w:r>
      <w:r>
        <w:rPr>
          <w:rStyle w:val="Refdenotaalpie"/>
          <w:bCs w:val="0"/>
          <w:color w:val="000000"/>
          <w:spacing w:val="0"/>
          <w:lang w:val="es-AR" w:eastAsia="es-AR"/>
        </w:rPr>
        <w:footnoteReference w:id="12"/>
      </w:r>
    </w:p>
    <w:p w:rsidR="00C15D1B" w:rsidRDefault="00C15D1B" w:rsidP="000A0A64">
      <w:pPr>
        <w:pStyle w:val="Prrafodelista"/>
        <w:numPr>
          <w:ilvl w:val="0"/>
          <w:numId w:val="1"/>
        </w:numPr>
        <w:spacing w:line="360" w:lineRule="auto"/>
        <w:jc w:val="both"/>
        <w:rPr>
          <w:bCs w:val="0"/>
          <w:color w:val="000000"/>
          <w:spacing w:val="0"/>
          <w:lang w:val="es-AR" w:eastAsia="es-AR"/>
        </w:rPr>
      </w:pPr>
      <w:r>
        <w:rPr>
          <w:bCs w:val="0"/>
          <w:color w:val="000000"/>
          <w:spacing w:val="0"/>
          <w:lang w:val="es-AR" w:eastAsia="es-AR"/>
        </w:rPr>
        <w:t>D</w:t>
      </w:r>
      <w:r w:rsidR="00457759" w:rsidRPr="00C15D1B">
        <w:rPr>
          <w:bCs w:val="0"/>
          <w:color w:val="000000"/>
          <w:spacing w:val="0"/>
          <w:lang w:val="es-AR" w:eastAsia="es-AR"/>
        </w:rPr>
        <w:t>iferente a los medios extraordinarios de cancelación de la cosa juzgada</w:t>
      </w:r>
      <w:r>
        <w:rPr>
          <w:bCs w:val="0"/>
          <w:color w:val="000000"/>
          <w:spacing w:val="0"/>
          <w:lang w:val="es-AR" w:eastAsia="es-AR"/>
        </w:rPr>
        <w:t xml:space="preserve"> (v.g. recursos </w:t>
      </w:r>
      <w:r w:rsidR="00457759" w:rsidRPr="00C15D1B">
        <w:rPr>
          <w:bCs w:val="0"/>
          <w:color w:val="000000"/>
          <w:spacing w:val="0"/>
          <w:lang w:val="es-AR" w:eastAsia="es-AR"/>
        </w:rPr>
        <w:t>de revisión, rescisión, revocación</w:t>
      </w:r>
      <w:r>
        <w:rPr>
          <w:bCs w:val="0"/>
          <w:color w:val="000000"/>
          <w:spacing w:val="0"/>
          <w:lang w:val="es-AR" w:eastAsia="es-AR"/>
        </w:rPr>
        <w:t xml:space="preserve">) </w:t>
      </w:r>
    </w:p>
    <w:p w:rsidR="009A0655" w:rsidRDefault="00C15D1B" w:rsidP="000A0A64">
      <w:pPr>
        <w:pStyle w:val="Prrafodelista"/>
        <w:numPr>
          <w:ilvl w:val="0"/>
          <w:numId w:val="1"/>
        </w:numPr>
        <w:spacing w:line="360" w:lineRule="auto"/>
        <w:jc w:val="both"/>
        <w:rPr>
          <w:bCs w:val="0"/>
          <w:color w:val="000000"/>
          <w:spacing w:val="0"/>
          <w:lang w:val="es-AR" w:eastAsia="es-AR"/>
        </w:rPr>
      </w:pPr>
      <w:r>
        <w:rPr>
          <w:bCs w:val="0"/>
          <w:color w:val="000000"/>
          <w:spacing w:val="0"/>
          <w:lang w:val="es-AR" w:eastAsia="es-AR"/>
        </w:rPr>
        <w:t>S</w:t>
      </w:r>
      <w:r w:rsidR="00457759" w:rsidRPr="00C15D1B">
        <w:rPr>
          <w:bCs w:val="0"/>
          <w:color w:val="000000"/>
          <w:spacing w:val="0"/>
          <w:lang w:val="es-AR" w:eastAsia="es-AR"/>
        </w:rPr>
        <w:t>ubsidiaria</w:t>
      </w:r>
      <w:r>
        <w:rPr>
          <w:bCs w:val="0"/>
          <w:color w:val="000000"/>
          <w:spacing w:val="0"/>
          <w:lang w:val="es-AR" w:eastAsia="es-AR"/>
        </w:rPr>
        <w:t>, por cuanto  el éxito de su articulación depende de la inexistencia de otras vías idóneas para la remoción del obstáculo de la cosa juzgada.</w:t>
      </w:r>
      <w:r>
        <w:rPr>
          <w:rStyle w:val="Refdenotaalpie"/>
          <w:bCs w:val="0"/>
          <w:color w:val="000000"/>
          <w:spacing w:val="0"/>
          <w:lang w:val="es-AR" w:eastAsia="es-AR"/>
        </w:rPr>
        <w:footnoteReference w:id="13"/>
      </w:r>
    </w:p>
    <w:p w:rsidR="009A0655" w:rsidRDefault="009A0655" w:rsidP="000A0A64">
      <w:pPr>
        <w:spacing w:line="360" w:lineRule="auto"/>
        <w:jc w:val="both"/>
        <w:rPr>
          <w:bCs w:val="0"/>
          <w:color w:val="000000"/>
          <w:spacing w:val="0"/>
          <w:lang w:val="es-AR" w:eastAsia="es-AR"/>
        </w:rPr>
      </w:pPr>
    </w:p>
    <w:p w:rsidR="009A0655" w:rsidRDefault="009A0655" w:rsidP="000A0A64">
      <w:pPr>
        <w:spacing w:line="360" w:lineRule="auto"/>
        <w:jc w:val="both"/>
        <w:rPr>
          <w:bCs w:val="0"/>
          <w:color w:val="000000"/>
          <w:spacing w:val="0"/>
          <w:lang w:val="es-AR" w:eastAsia="es-AR"/>
        </w:rPr>
      </w:pPr>
      <w:r>
        <w:rPr>
          <w:bCs w:val="0"/>
          <w:color w:val="000000"/>
          <w:spacing w:val="0"/>
          <w:lang w:val="es-AR" w:eastAsia="es-AR"/>
        </w:rPr>
        <w:tab/>
      </w:r>
      <w:r>
        <w:rPr>
          <w:bCs w:val="0"/>
          <w:color w:val="000000"/>
          <w:spacing w:val="0"/>
          <w:lang w:val="es-AR" w:eastAsia="es-AR"/>
        </w:rPr>
        <w:tab/>
        <w:t>En lo que respecta a la competencia, si bien en los antecedentes observamos diversos criterios de asignación de la referida causa</w:t>
      </w:r>
      <w:r w:rsidR="008C066A">
        <w:rPr>
          <w:rStyle w:val="Refdenotaalpie"/>
          <w:bCs w:val="0"/>
          <w:color w:val="000000"/>
          <w:spacing w:val="0"/>
          <w:lang w:val="es-AR" w:eastAsia="es-AR"/>
        </w:rPr>
        <w:footnoteReference w:id="14"/>
      </w:r>
      <w:r>
        <w:rPr>
          <w:bCs w:val="0"/>
          <w:color w:val="000000"/>
          <w:spacing w:val="0"/>
          <w:lang w:val="es-AR" w:eastAsia="es-AR"/>
        </w:rPr>
        <w:t>. Así</w:t>
      </w:r>
    </w:p>
    <w:p w:rsidR="00E4754C" w:rsidRDefault="009A0655" w:rsidP="000A0A64">
      <w:pPr>
        <w:pStyle w:val="Prrafodelista"/>
        <w:numPr>
          <w:ilvl w:val="0"/>
          <w:numId w:val="4"/>
        </w:numPr>
        <w:spacing w:line="360" w:lineRule="auto"/>
        <w:jc w:val="both"/>
        <w:rPr>
          <w:bCs w:val="0"/>
          <w:color w:val="000000"/>
          <w:spacing w:val="0"/>
          <w:lang w:val="es-AR" w:eastAsia="es-AR"/>
        </w:rPr>
      </w:pPr>
      <w:r>
        <w:rPr>
          <w:bCs w:val="0"/>
          <w:color w:val="000000"/>
          <w:spacing w:val="0"/>
          <w:lang w:val="es-AR" w:eastAsia="es-AR"/>
        </w:rPr>
        <w:t>Algunos entendían que era competente el mismo juez de la causa que dictó el entuerto, sosteniéndose sobre varios argumentos</w:t>
      </w:r>
      <w:r w:rsidR="00C651A7">
        <w:rPr>
          <w:bCs w:val="0"/>
          <w:color w:val="000000"/>
          <w:spacing w:val="0"/>
          <w:lang w:val="es-AR" w:eastAsia="es-AR"/>
        </w:rPr>
        <w:t xml:space="preserve"> (porque resulta </w:t>
      </w:r>
      <w:r w:rsidR="00C651A7" w:rsidRPr="00C651A7">
        <w:rPr>
          <w:bCs w:val="0"/>
          <w:color w:val="000000"/>
          <w:spacing w:val="0"/>
          <w:lang w:val="es-AR" w:eastAsia="es-AR"/>
        </w:rPr>
        <w:t>más económico en términos de esfuerzo y celeridad</w:t>
      </w:r>
      <w:r w:rsidR="00C651A7">
        <w:rPr>
          <w:bCs w:val="0"/>
          <w:color w:val="000000"/>
          <w:spacing w:val="0"/>
          <w:lang w:val="es-AR" w:eastAsia="es-AR"/>
        </w:rPr>
        <w:t>, por conexidad, etc.), aunque se criticaba dicha visión por entender que se anteponía a l</w:t>
      </w:r>
      <w:r w:rsidR="00C651A7" w:rsidRPr="00C651A7">
        <w:rPr>
          <w:bCs w:val="0"/>
          <w:color w:val="000000"/>
          <w:spacing w:val="0"/>
          <w:lang w:val="es-AR" w:eastAsia="es-AR"/>
        </w:rPr>
        <w:t xml:space="preserve">a garantía judicial de imparcialidad. </w:t>
      </w:r>
      <w:r w:rsidR="00E4754C">
        <w:rPr>
          <w:bCs w:val="0"/>
          <w:color w:val="000000"/>
          <w:spacing w:val="0"/>
          <w:lang w:val="es-AR" w:eastAsia="es-AR"/>
        </w:rPr>
        <w:t xml:space="preserve"> Así se indicaba que este habría </w:t>
      </w:r>
      <w:r w:rsidR="00C651A7" w:rsidRPr="00C651A7">
        <w:rPr>
          <w:bCs w:val="0"/>
          <w:color w:val="000000"/>
          <w:spacing w:val="0"/>
          <w:lang w:val="es-AR" w:eastAsia="es-AR"/>
        </w:rPr>
        <w:t xml:space="preserve">comprometido su juicio al </w:t>
      </w:r>
      <w:r w:rsidR="00E4754C">
        <w:rPr>
          <w:bCs w:val="0"/>
          <w:color w:val="000000"/>
          <w:spacing w:val="0"/>
          <w:lang w:val="es-AR" w:eastAsia="es-AR"/>
        </w:rPr>
        <w:t xml:space="preserve">ya haber </w:t>
      </w:r>
      <w:r w:rsidR="00C651A7" w:rsidRPr="00C651A7">
        <w:rPr>
          <w:bCs w:val="0"/>
          <w:color w:val="000000"/>
          <w:spacing w:val="0"/>
          <w:lang w:val="es-AR" w:eastAsia="es-AR"/>
        </w:rPr>
        <w:t>emiti</w:t>
      </w:r>
      <w:r w:rsidR="00E4754C">
        <w:rPr>
          <w:bCs w:val="0"/>
          <w:color w:val="000000"/>
          <w:spacing w:val="0"/>
          <w:lang w:val="es-AR" w:eastAsia="es-AR"/>
        </w:rPr>
        <w:t xml:space="preserve">do </w:t>
      </w:r>
      <w:r w:rsidR="00C651A7" w:rsidRPr="00C651A7">
        <w:rPr>
          <w:bCs w:val="0"/>
          <w:color w:val="000000"/>
          <w:spacing w:val="0"/>
          <w:lang w:val="es-AR" w:eastAsia="es-AR"/>
        </w:rPr>
        <w:t xml:space="preserve"> opinión en la sentencia impugnada aún cuando no haya mediado fraude. </w:t>
      </w:r>
    </w:p>
    <w:p w:rsidR="00707FD9" w:rsidRDefault="009A0655" w:rsidP="000A0A64">
      <w:pPr>
        <w:pStyle w:val="Prrafodelista"/>
        <w:numPr>
          <w:ilvl w:val="0"/>
          <w:numId w:val="4"/>
        </w:numPr>
        <w:spacing w:line="360" w:lineRule="auto"/>
        <w:jc w:val="both"/>
        <w:rPr>
          <w:bCs w:val="0"/>
          <w:color w:val="000000"/>
          <w:spacing w:val="0"/>
          <w:lang w:val="es-AR" w:eastAsia="es-AR"/>
        </w:rPr>
      </w:pPr>
      <w:r w:rsidRPr="009A0655">
        <w:rPr>
          <w:bCs w:val="0"/>
          <w:color w:val="000000"/>
          <w:spacing w:val="0"/>
          <w:lang w:val="es-AR" w:eastAsia="es-AR"/>
        </w:rPr>
        <w:t xml:space="preserve">Otra </w:t>
      </w:r>
      <w:r w:rsidR="00E4754C" w:rsidRPr="00E4754C">
        <w:rPr>
          <w:bCs w:val="0"/>
          <w:color w:val="000000"/>
          <w:spacing w:val="0"/>
          <w:lang w:val="es-AR" w:eastAsia="es-AR"/>
        </w:rPr>
        <w:t>salida es la que señala la intervención del juez en razón del turno de acuerdo a las reglas generales de competencia</w:t>
      </w:r>
      <w:r w:rsidR="008C066A">
        <w:rPr>
          <w:bCs w:val="0"/>
          <w:color w:val="000000"/>
          <w:spacing w:val="0"/>
          <w:lang w:val="es-AR" w:eastAsia="es-AR"/>
        </w:rPr>
        <w:t xml:space="preserve"> o en su caso por las reglas de distribución  de la misma conforme  a las normas de atribución de competencia de los códigos de rito. En sentido coincidente  la </w:t>
      </w:r>
      <w:r w:rsidRPr="009A0655">
        <w:rPr>
          <w:bCs w:val="0"/>
          <w:color w:val="000000"/>
          <w:spacing w:val="0"/>
          <w:lang w:val="es-AR" w:eastAsia="es-AR"/>
        </w:rPr>
        <w:t xml:space="preserve">Suprema Corte de Justicia de Mendoza </w:t>
      </w:r>
      <w:r w:rsidR="008C066A">
        <w:rPr>
          <w:bCs w:val="0"/>
          <w:color w:val="000000"/>
          <w:spacing w:val="0"/>
          <w:lang w:val="es-AR" w:eastAsia="es-AR"/>
        </w:rPr>
        <w:t xml:space="preserve">resolvió en pleno, </w:t>
      </w:r>
      <w:r w:rsidR="00707FD9">
        <w:rPr>
          <w:bCs w:val="0"/>
          <w:color w:val="000000"/>
          <w:spacing w:val="0"/>
          <w:lang w:val="es-AR" w:eastAsia="es-AR"/>
        </w:rPr>
        <w:t>“</w:t>
      </w:r>
      <w:r w:rsidR="00707FD9" w:rsidRPr="00707FD9">
        <w:rPr>
          <w:bCs w:val="0"/>
          <w:color w:val="000000"/>
          <w:spacing w:val="0"/>
          <w:lang w:val="es-AR" w:eastAsia="es-AR"/>
        </w:rPr>
        <w:t>El tribunal competente para entender en la acción autónoma de nulidad de la cosa juzgada írrita es el juez o Tribunal de primera o única instancia correspondiente al del domicilio del demandado, excluyendo el juez o Tribunal que intervino en el dictado de la sentencia</w:t>
      </w:r>
      <w:r w:rsidR="00707FD9">
        <w:rPr>
          <w:bCs w:val="0"/>
          <w:color w:val="000000"/>
          <w:spacing w:val="0"/>
          <w:lang w:val="es-AR" w:eastAsia="es-AR"/>
        </w:rPr>
        <w:t>”</w:t>
      </w:r>
      <w:r w:rsidR="00707FD9">
        <w:rPr>
          <w:rStyle w:val="Refdenotaalpie"/>
          <w:bCs w:val="0"/>
          <w:color w:val="000000"/>
          <w:spacing w:val="0"/>
          <w:lang w:val="es-AR" w:eastAsia="es-AR"/>
        </w:rPr>
        <w:footnoteReference w:id="15"/>
      </w:r>
      <w:r w:rsidR="00707FD9" w:rsidRPr="00707FD9">
        <w:rPr>
          <w:bCs w:val="0"/>
          <w:color w:val="000000"/>
          <w:spacing w:val="0"/>
          <w:lang w:val="es-AR" w:eastAsia="es-AR"/>
        </w:rPr>
        <w:t>.</w:t>
      </w:r>
    </w:p>
    <w:p w:rsidR="00494EDC" w:rsidRDefault="00494EDC" w:rsidP="000A0A64">
      <w:pPr>
        <w:pStyle w:val="Prrafodelista"/>
        <w:numPr>
          <w:ilvl w:val="0"/>
          <w:numId w:val="4"/>
        </w:numPr>
        <w:spacing w:line="360" w:lineRule="auto"/>
        <w:jc w:val="both"/>
        <w:rPr>
          <w:bCs w:val="0"/>
          <w:color w:val="000000"/>
          <w:spacing w:val="0"/>
          <w:lang w:val="es-AR" w:eastAsia="es-AR"/>
        </w:rPr>
      </w:pPr>
      <w:r>
        <w:rPr>
          <w:bCs w:val="0"/>
          <w:color w:val="000000"/>
          <w:spacing w:val="0"/>
          <w:lang w:val="es-AR" w:eastAsia="es-AR"/>
        </w:rPr>
        <w:t xml:space="preserve">Por último están los que pregonan </w:t>
      </w:r>
      <w:r w:rsidR="007F59CD">
        <w:rPr>
          <w:bCs w:val="0"/>
          <w:color w:val="000000"/>
          <w:spacing w:val="0"/>
          <w:lang w:val="es-AR" w:eastAsia="es-AR"/>
        </w:rPr>
        <w:t xml:space="preserve">la competencia originaria de los Superiores Tribunales Provinciales para entender en dichas causas, aunque esta no ha dejado de ser objeto de críticas, argumentándose que su </w:t>
      </w:r>
      <w:r w:rsidR="007F59CD" w:rsidRPr="007F59CD">
        <w:rPr>
          <w:bCs w:val="0"/>
          <w:color w:val="000000"/>
          <w:spacing w:val="0"/>
          <w:lang w:val="es-AR" w:eastAsia="es-AR"/>
        </w:rPr>
        <w:t xml:space="preserve"> alta función, </w:t>
      </w:r>
      <w:r w:rsidR="007F59CD">
        <w:rPr>
          <w:bCs w:val="0"/>
          <w:color w:val="000000"/>
          <w:spacing w:val="0"/>
          <w:lang w:val="es-AR" w:eastAsia="es-AR"/>
        </w:rPr>
        <w:t xml:space="preserve">su </w:t>
      </w:r>
      <w:r w:rsidR="007F59CD" w:rsidRPr="007F59CD">
        <w:rPr>
          <w:bCs w:val="0"/>
          <w:color w:val="000000"/>
          <w:spacing w:val="0"/>
          <w:lang w:val="es-AR" w:eastAsia="es-AR"/>
        </w:rPr>
        <w:t>caudal de trabajo</w:t>
      </w:r>
      <w:r w:rsidR="007F59CD">
        <w:rPr>
          <w:bCs w:val="0"/>
          <w:color w:val="000000"/>
          <w:spacing w:val="0"/>
          <w:lang w:val="es-AR" w:eastAsia="es-AR"/>
        </w:rPr>
        <w:t xml:space="preserve"> </w:t>
      </w:r>
      <w:r w:rsidR="007F59CD" w:rsidRPr="007F59CD">
        <w:rPr>
          <w:bCs w:val="0"/>
          <w:color w:val="000000"/>
          <w:spacing w:val="0"/>
          <w:lang w:val="es-AR" w:eastAsia="es-AR"/>
        </w:rPr>
        <w:t>y los límites cognoscitivos constitucionalmente previstos a su respecto desaconsejan su intervención, en un proceso de conocimiento amplio que preserve el contradictorio que este tipo de asuntos requiere.</w:t>
      </w:r>
      <w:r w:rsidR="007F59CD">
        <w:rPr>
          <w:rStyle w:val="Refdenotaalpie"/>
          <w:bCs w:val="0"/>
          <w:color w:val="000000"/>
          <w:spacing w:val="0"/>
          <w:lang w:val="es-AR" w:eastAsia="es-AR"/>
        </w:rPr>
        <w:footnoteReference w:id="16"/>
      </w:r>
      <w:r w:rsidR="007F59CD">
        <w:rPr>
          <w:rStyle w:val="Refdenotaalpie"/>
          <w:bCs w:val="0"/>
          <w:color w:val="000000"/>
          <w:spacing w:val="0"/>
          <w:lang w:val="es-AR" w:eastAsia="es-AR"/>
        </w:rPr>
        <w:footnoteReference w:id="17"/>
      </w:r>
    </w:p>
    <w:p w:rsidR="004C7BA7" w:rsidRDefault="004C7BA7" w:rsidP="000A0A64">
      <w:pPr>
        <w:spacing w:line="360" w:lineRule="auto"/>
        <w:jc w:val="both"/>
        <w:rPr>
          <w:bCs w:val="0"/>
          <w:color w:val="000000"/>
          <w:spacing w:val="0"/>
          <w:lang w:val="es-AR" w:eastAsia="es-AR"/>
        </w:rPr>
      </w:pPr>
    </w:p>
    <w:p w:rsidR="004C7BA7" w:rsidRPr="004C7BA7" w:rsidRDefault="004C7BA7" w:rsidP="000A0A64">
      <w:pPr>
        <w:spacing w:line="360" w:lineRule="auto"/>
        <w:jc w:val="both"/>
        <w:rPr>
          <w:bCs w:val="0"/>
          <w:color w:val="000000"/>
          <w:spacing w:val="0"/>
          <w:lang w:val="es-AR" w:eastAsia="es-AR"/>
        </w:rPr>
      </w:pPr>
      <w:r>
        <w:rPr>
          <w:bCs w:val="0"/>
          <w:color w:val="000000"/>
          <w:spacing w:val="0"/>
          <w:lang w:val="es-AR" w:eastAsia="es-AR"/>
        </w:rPr>
        <w:tab/>
      </w:r>
      <w:r>
        <w:rPr>
          <w:bCs w:val="0"/>
          <w:color w:val="000000"/>
          <w:spacing w:val="0"/>
          <w:lang w:val="es-AR" w:eastAsia="es-AR"/>
        </w:rPr>
        <w:tab/>
        <w:t>¿Que dice la norma?</w:t>
      </w:r>
    </w:p>
    <w:p w:rsidR="004C7BA7" w:rsidRDefault="004C7BA7" w:rsidP="000A0A64">
      <w:pPr>
        <w:spacing w:line="360" w:lineRule="auto"/>
        <w:ind w:left="3136"/>
        <w:jc w:val="both"/>
        <w:rPr>
          <w:bCs w:val="0"/>
          <w:color w:val="000000"/>
          <w:spacing w:val="0"/>
          <w:lang w:val="es-AR" w:eastAsia="es-AR"/>
        </w:rPr>
      </w:pPr>
      <w:r>
        <w:rPr>
          <w:bCs w:val="0"/>
          <w:color w:val="000000"/>
          <w:spacing w:val="0"/>
          <w:lang w:val="es-AR" w:eastAsia="es-AR"/>
        </w:rPr>
        <w:t xml:space="preserve">En su inciso V el referido art. 231 C.P.C. (ley 9001) establece que </w:t>
      </w:r>
      <w:r w:rsidRPr="004C7BA7">
        <w:rPr>
          <w:bCs w:val="0"/>
          <w:i/>
          <w:color w:val="000000"/>
          <w:spacing w:val="0"/>
          <w:lang w:val="es-AR" w:eastAsia="es-AR"/>
        </w:rPr>
        <w:t xml:space="preserve">“…. La Suprema Corte de Justicia deberá rever la sentencia y en su caso declararla írrita, anulando el proceso originario y, sin solución de continuidad, resolverá sobre el fondo del asunto, ajustando su decisión a lo dispuesto en Art. 90.” </w:t>
      </w:r>
    </w:p>
    <w:p w:rsidR="004C7BA7" w:rsidRDefault="004C7BA7" w:rsidP="000A0A64">
      <w:pPr>
        <w:spacing w:line="360" w:lineRule="auto"/>
        <w:ind w:left="3136"/>
        <w:jc w:val="both"/>
        <w:rPr>
          <w:bCs w:val="0"/>
          <w:color w:val="000000"/>
          <w:spacing w:val="0"/>
          <w:lang w:val="es-AR" w:eastAsia="es-AR"/>
        </w:rPr>
      </w:pPr>
    </w:p>
    <w:p w:rsidR="00F228B3" w:rsidRDefault="004C7BA7" w:rsidP="000A0A64">
      <w:pPr>
        <w:spacing w:line="360" w:lineRule="auto"/>
        <w:ind w:left="3136"/>
        <w:jc w:val="both"/>
        <w:rPr>
          <w:bCs w:val="0"/>
          <w:color w:val="000000"/>
          <w:spacing w:val="0"/>
          <w:lang w:val="es-AR" w:eastAsia="es-AR"/>
        </w:rPr>
      </w:pPr>
      <w:r>
        <w:rPr>
          <w:bCs w:val="0"/>
          <w:color w:val="000000"/>
          <w:spacing w:val="0"/>
          <w:lang w:val="es-AR" w:eastAsia="es-AR"/>
        </w:rPr>
        <w:t xml:space="preserve">Como se observa se abandona la tesis apuntada por el plenario “Salvatierra”, en cuanto a la asignación de la competencia de los Tribunales de primera o única instancia quedando reservado al conocimiento de la Corte Provincial, tal como otrora pregonara la 4ª C.C. in re </w:t>
      </w:r>
      <w:r w:rsidR="00381262">
        <w:rPr>
          <w:bCs w:val="0"/>
          <w:color w:val="000000"/>
          <w:spacing w:val="0"/>
          <w:lang w:val="es-AR" w:eastAsia="es-AR"/>
        </w:rPr>
        <w:t>“Magri…”</w:t>
      </w:r>
    </w:p>
    <w:p w:rsidR="00F228B3" w:rsidRDefault="00F228B3" w:rsidP="000A0A64">
      <w:pPr>
        <w:spacing w:line="360" w:lineRule="auto"/>
        <w:ind w:left="3136"/>
        <w:jc w:val="both"/>
        <w:rPr>
          <w:bCs w:val="0"/>
          <w:color w:val="000000"/>
          <w:spacing w:val="0"/>
          <w:lang w:val="es-AR" w:eastAsia="es-AR"/>
        </w:rPr>
      </w:pPr>
    </w:p>
    <w:p w:rsidR="00F228B3" w:rsidRDefault="00F228B3" w:rsidP="000A0A64">
      <w:pPr>
        <w:spacing w:line="360" w:lineRule="auto"/>
        <w:jc w:val="both"/>
        <w:rPr>
          <w:bCs w:val="0"/>
          <w:color w:val="000000"/>
          <w:spacing w:val="0"/>
          <w:lang w:val="es-AR" w:eastAsia="es-AR"/>
        </w:rPr>
      </w:pPr>
      <w:r>
        <w:rPr>
          <w:bCs w:val="0"/>
          <w:color w:val="000000"/>
          <w:spacing w:val="0"/>
          <w:lang w:val="es-AR" w:eastAsia="es-AR"/>
        </w:rPr>
        <w:tab/>
      </w:r>
      <w:r>
        <w:rPr>
          <w:bCs w:val="0"/>
          <w:color w:val="000000"/>
          <w:spacing w:val="0"/>
          <w:lang w:val="es-AR" w:eastAsia="es-AR"/>
        </w:rPr>
        <w:tab/>
        <w:t>¿Cuál es el trámite previsto en la norma?</w:t>
      </w:r>
    </w:p>
    <w:p w:rsidR="00F228B3" w:rsidRDefault="00F228B3" w:rsidP="000A0A64">
      <w:pPr>
        <w:spacing w:line="360" w:lineRule="auto"/>
        <w:jc w:val="both"/>
        <w:rPr>
          <w:bCs w:val="0"/>
          <w:color w:val="000000"/>
          <w:spacing w:val="0"/>
          <w:lang w:val="es-AR" w:eastAsia="es-AR"/>
        </w:rPr>
      </w:pPr>
      <w:r>
        <w:rPr>
          <w:bCs w:val="0"/>
          <w:color w:val="000000"/>
          <w:spacing w:val="0"/>
          <w:lang w:val="es-AR" w:eastAsia="es-AR"/>
        </w:rPr>
        <w:tab/>
      </w:r>
    </w:p>
    <w:p w:rsidR="0040456A" w:rsidRDefault="00F228B3" w:rsidP="000A0A64">
      <w:pPr>
        <w:spacing w:line="360" w:lineRule="auto"/>
        <w:ind w:left="3136"/>
        <w:jc w:val="both"/>
        <w:rPr>
          <w:bCs w:val="0"/>
          <w:color w:val="000000"/>
          <w:spacing w:val="0"/>
          <w:lang w:val="es-AR" w:eastAsia="es-AR"/>
        </w:rPr>
      </w:pPr>
      <w:r>
        <w:rPr>
          <w:bCs w:val="0"/>
          <w:color w:val="000000"/>
          <w:spacing w:val="0"/>
          <w:lang w:val="es-AR" w:eastAsia="es-AR"/>
        </w:rPr>
        <w:t xml:space="preserve">Como recién apuntábamos la doctrina entendía que resultaba propicio que la discusión que versara sobre la validez de la cosa juzgada debía tramitar por </w:t>
      </w:r>
      <w:r w:rsidRPr="00F228B3">
        <w:rPr>
          <w:bCs w:val="0"/>
          <w:color w:val="000000"/>
          <w:spacing w:val="0"/>
          <w:lang w:val="es-AR" w:eastAsia="es-AR"/>
        </w:rPr>
        <w:t xml:space="preserve"> un proceso de conocimiento pleno, donde pu</w:t>
      </w:r>
      <w:r w:rsidR="008F7311">
        <w:rPr>
          <w:bCs w:val="0"/>
          <w:color w:val="000000"/>
          <w:spacing w:val="0"/>
          <w:lang w:val="es-AR" w:eastAsia="es-AR"/>
        </w:rPr>
        <w:t>diese</w:t>
      </w:r>
      <w:r w:rsidRPr="00F228B3">
        <w:rPr>
          <w:bCs w:val="0"/>
          <w:color w:val="000000"/>
          <w:spacing w:val="0"/>
          <w:lang w:val="es-AR" w:eastAsia="es-AR"/>
        </w:rPr>
        <w:t xml:space="preserve"> debatirse ampliamente la cuestión litigiosa</w:t>
      </w:r>
      <w:r>
        <w:rPr>
          <w:rStyle w:val="Refdenotaalpie"/>
          <w:bCs w:val="0"/>
          <w:color w:val="000000"/>
          <w:spacing w:val="0"/>
          <w:lang w:val="es-AR" w:eastAsia="es-AR"/>
        </w:rPr>
        <w:footnoteReference w:id="18"/>
      </w:r>
      <w:r w:rsidR="008F7311">
        <w:rPr>
          <w:bCs w:val="0"/>
          <w:color w:val="000000"/>
          <w:spacing w:val="0"/>
          <w:lang w:val="es-AR" w:eastAsia="es-AR"/>
        </w:rPr>
        <w:t>,  dicha concepción es la que ha seguido la norma del Código reformado al prever que por este tipo de proceso (art. 155 y s.s. ley 9001).</w:t>
      </w:r>
      <w:r w:rsidR="008F7311">
        <w:rPr>
          <w:rStyle w:val="Refdenotaalpie"/>
          <w:bCs w:val="0"/>
          <w:color w:val="000000"/>
          <w:spacing w:val="0"/>
          <w:lang w:val="es-AR" w:eastAsia="es-AR"/>
        </w:rPr>
        <w:footnoteReference w:id="19"/>
      </w:r>
    </w:p>
    <w:p w:rsidR="0040456A" w:rsidRDefault="0040456A" w:rsidP="000A0A64">
      <w:pPr>
        <w:spacing w:line="360" w:lineRule="auto"/>
        <w:ind w:left="3136"/>
        <w:jc w:val="both"/>
        <w:rPr>
          <w:bCs w:val="0"/>
          <w:color w:val="000000"/>
          <w:spacing w:val="0"/>
          <w:lang w:val="es-AR" w:eastAsia="es-AR"/>
        </w:rPr>
      </w:pPr>
    </w:p>
    <w:p w:rsidR="0040456A" w:rsidRDefault="0040456A" w:rsidP="000A0A64">
      <w:pPr>
        <w:spacing w:line="360" w:lineRule="auto"/>
        <w:mirrorIndents/>
        <w:jc w:val="both"/>
        <w:rPr>
          <w:bCs w:val="0"/>
          <w:color w:val="000000"/>
          <w:spacing w:val="0"/>
          <w:lang w:val="es-AR" w:eastAsia="es-AR"/>
        </w:rPr>
      </w:pPr>
      <w:r>
        <w:rPr>
          <w:bCs w:val="0"/>
          <w:color w:val="000000"/>
          <w:spacing w:val="0"/>
          <w:lang w:val="es-AR" w:eastAsia="es-AR"/>
        </w:rPr>
        <w:tab/>
      </w:r>
      <w:r>
        <w:rPr>
          <w:bCs w:val="0"/>
          <w:color w:val="000000"/>
          <w:spacing w:val="0"/>
          <w:lang w:val="es-AR" w:eastAsia="es-AR"/>
        </w:rPr>
        <w:tab/>
        <w:t xml:space="preserve">¿Cuál es su objeto? </w:t>
      </w:r>
    </w:p>
    <w:p w:rsidR="0040456A" w:rsidRDefault="000A5A3A" w:rsidP="000A0A64">
      <w:pPr>
        <w:spacing w:line="360" w:lineRule="auto"/>
        <w:jc w:val="both"/>
        <w:rPr>
          <w:bCs w:val="0"/>
          <w:color w:val="000000"/>
          <w:spacing w:val="0"/>
          <w:lang w:val="es-AR" w:eastAsia="es-AR"/>
        </w:rPr>
      </w:pPr>
      <w:r>
        <w:rPr>
          <w:bCs w:val="0"/>
          <w:color w:val="000000"/>
          <w:spacing w:val="0"/>
          <w:lang w:val="es-AR" w:eastAsia="es-AR"/>
        </w:rPr>
        <w:tab/>
      </w:r>
      <w:r>
        <w:rPr>
          <w:bCs w:val="0"/>
          <w:color w:val="000000"/>
          <w:spacing w:val="0"/>
          <w:lang w:val="es-AR" w:eastAsia="es-AR"/>
        </w:rPr>
        <w:tab/>
      </w:r>
      <w:r>
        <w:rPr>
          <w:bCs w:val="0"/>
          <w:color w:val="000000"/>
          <w:spacing w:val="0"/>
          <w:lang w:val="es-AR" w:eastAsia="es-AR"/>
        </w:rPr>
        <w:tab/>
      </w:r>
      <w:r>
        <w:rPr>
          <w:bCs w:val="0"/>
          <w:color w:val="000000"/>
          <w:spacing w:val="0"/>
          <w:lang w:val="es-AR" w:eastAsia="es-AR"/>
        </w:rPr>
        <w:tab/>
      </w:r>
      <w:r>
        <w:rPr>
          <w:bCs w:val="0"/>
          <w:color w:val="000000"/>
          <w:spacing w:val="0"/>
          <w:lang w:val="es-AR" w:eastAsia="es-AR"/>
        </w:rPr>
        <w:tab/>
      </w:r>
      <w:r w:rsidR="0040456A">
        <w:rPr>
          <w:bCs w:val="0"/>
          <w:color w:val="000000"/>
          <w:spacing w:val="0"/>
          <w:lang w:val="es-AR" w:eastAsia="es-AR"/>
        </w:rPr>
        <w:t xml:space="preserve">Se </w:t>
      </w:r>
      <w:r>
        <w:rPr>
          <w:bCs w:val="0"/>
          <w:color w:val="000000"/>
          <w:spacing w:val="0"/>
          <w:lang w:val="es-AR" w:eastAsia="es-AR"/>
        </w:rPr>
        <w:t>ha</w:t>
      </w:r>
      <w:r w:rsidR="0040456A">
        <w:rPr>
          <w:bCs w:val="0"/>
          <w:color w:val="000000"/>
          <w:spacing w:val="0"/>
          <w:lang w:val="es-AR" w:eastAsia="es-AR"/>
        </w:rPr>
        <w:t xml:space="preserve"> dicho que el </w:t>
      </w:r>
      <w:r w:rsidR="0040456A" w:rsidRPr="0040456A">
        <w:rPr>
          <w:bCs w:val="0"/>
          <w:color w:val="000000"/>
          <w:spacing w:val="0"/>
          <w:lang w:val="es-AR" w:eastAsia="es-AR"/>
        </w:rPr>
        <w:t>instituto de la cosa juzgada írrita viene a atenuar los efectos de la cosa juzgada material cuando e</w:t>
      </w:r>
      <w:r w:rsidR="0040456A">
        <w:rPr>
          <w:bCs w:val="0"/>
          <w:color w:val="000000"/>
          <w:spacing w:val="0"/>
          <w:lang w:val="es-AR" w:eastAsia="es-AR"/>
        </w:rPr>
        <w:t xml:space="preserve">sta </w:t>
      </w:r>
      <w:r w:rsidR="0040456A" w:rsidRPr="0040456A">
        <w:rPr>
          <w:bCs w:val="0"/>
          <w:color w:val="000000"/>
          <w:spacing w:val="0"/>
          <w:lang w:val="es-AR" w:eastAsia="es-AR"/>
        </w:rPr>
        <w:t xml:space="preserve"> es obtenida de</w:t>
      </w:r>
      <w:r>
        <w:rPr>
          <w:bCs w:val="0"/>
          <w:color w:val="000000"/>
          <w:spacing w:val="0"/>
          <w:lang w:val="es-AR" w:eastAsia="es-AR"/>
        </w:rPr>
        <w:t xml:space="preserve"> </w:t>
      </w:r>
      <w:r w:rsidR="0040456A" w:rsidRPr="0040456A">
        <w:rPr>
          <w:bCs w:val="0"/>
          <w:color w:val="000000"/>
          <w:spacing w:val="0"/>
          <w:lang w:val="es-AR" w:eastAsia="es-AR"/>
        </w:rPr>
        <w:t>m</w:t>
      </w:r>
      <w:r w:rsidR="0040456A">
        <w:rPr>
          <w:bCs w:val="0"/>
          <w:color w:val="000000"/>
          <w:spacing w:val="0"/>
          <w:lang w:val="es-AR" w:eastAsia="es-AR"/>
        </w:rPr>
        <w:t>anera malicios</w:t>
      </w:r>
      <w:r w:rsidR="00C46B10">
        <w:rPr>
          <w:bCs w:val="0"/>
          <w:color w:val="000000"/>
          <w:spacing w:val="0"/>
          <w:lang w:val="es-AR" w:eastAsia="es-AR"/>
        </w:rPr>
        <w:t>a</w:t>
      </w:r>
      <w:r w:rsidR="0040456A">
        <w:rPr>
          <w:bCs w:val="0"/>
          <w:color w:val="000000"/>
          <w:spacing w:val="0"/>
          <w:lang w:val="es-AR" w:eastAsia="es-AR"/>
        </w:rPr>
        <w:t xml:space="preserve"> o por medios ilícitos, por lo que resulta </w:t>
      </w:r>
      <w:r w:rsidR="0040456A" w:rsidRPr="0040456A">
        <w:rPr>
          <w:bCs w:val="0"/>
          <w:color w:val="000000"/>
          <w:spacing w:val="0"/>
          <w:lang w:val="es-AR" w:eastAsia="es-AR"/>
        </w:rPr>
        <w:t xml:space="preserve">pasible de anulación si se muestra que el autor del mismo (órgano </w:t>
      </w:r>
      <w:r w:rsidR="00C46B10">
        <w:rPr>
          <w:bCs w:val="0"/>
          <w:color w:val="000000"/>
          <w:spacing w:val="0"/>
          <w:lang w:val="es-AR" w:eastAsia="es-AR"/>
        </w:rPr>
        <w:t xml:space="preserve"> </w:t>
      </w:r>
      <w:r w:rsidR="0040456A" w:rsidRPr="0040456A">
        <w:rPr>
          <w:bCs w:val="0"/>
          <w:color w:val="000000"/>
          <w:spacing w:val="0"/>
          <w:lang w:val="es-AR" w:eastAsia="es-AR"/>
        </w:rPr>
        <w:t>jurisdiccional) lo dictó con su consentimiento viciado (sea por error, dolo, violencia o en desmedro de su buena fe), circunstancia</w:t>
      </w:r>
      <w:r w:rsidR="0040456A">
        <w:rPr>
          <w:bCs w:val="0"/>
          <w:color w:val="000000"/>
          <w:spacing w:val="0"/>
          <w:lang w:val="es-AR" w:eastAsia="es-AR"/>
        </w:rPr>
        <w:tab/>
      </w:r>
      <w:r w:rsidR="0040456A" w:rsidRPr="0040456A">
        <w:rPr>
          <w:bCs w:val="0"/>
          <w:color w:val="000000"/>
          <w:spacing w:val="0"/>
          <w:lang w:val="es-AR" w:eastAsia="es-AR"/>
        </w:rPr>
        <w:t>que debe ser conocida con posterioridad al dictado de la resolución.</w:t>
      </w:r>
    </w:p>
    <w:p w:rsidR="000A5A3A" w:rsidRDefault="000A5A3A" w:rsidP="000A0A64">
      <w:pPr>
        <w:spacing w:line="360" w:lineRule="auto"/>
        <w:mirrorIndents/>
        <w:jc w:val="both"/>
        <w:rPr>
          <w:bCs w:val="0"/>
          <w:color w:val="000000"/>
          <w:spacing w:val="0"/>
          <w:lang w:val="es-AR" w:eastAsia="es-AR"/>
        </w:rPr>
      </w:pPr>
      <w:r>
        <w:rPr>
          <w:bCs w:val="0"/>
          <w:color w:val="000000"/>
          <w:spacing w:val="0"/>
          <w:lang w:val="es-AR" w:eastAsia="es-AR"/>
        </w:rPr>
        <w:tab/>
      </w:r>
      <w:r>
        <w:rPr>
          <w:bCs w:val="0"/>
          <w:color w:val="000000"/>
          <w:spacing w:val="0"/>
          <w:lang w:val="es-AR" w:eastAsia="es-AR"/>
        </w:rPr>
        <w:tab/>
      </w:r>
      <w:r>
        <w:rPr>
          <w:bCs w:val="0"/>
          <w:color w:val="000000"/>
          <w:spacing w:val="0"/>
          <w:lang w:val="es-AR" w:eastAsia="es-AR"/>
        </w:rPr>
        <w:tab/>
      </w:r>
    </w:p>
    <w:p w:rsidR="000A5A3A" w:rsidRPr="000A5A3A" w:rsidRDefault="000A5A3A" w:rsidP="000A0A64">
      <w:pPr>
        <w:spacing w:line="360" w:lineRule="auto"/>
        <w:mirrorIndents/>
        <w:jc w:val="both"/>
        <w:rPr>
          <w:bCs w:val="0"/>
          <w:i/>
          <w:color w:val="000000"/>
          <w:spacing w:val="0"/>
          <w:lang w:val="es-AR" w:eastAsia="es-AR"/>
        </w:rPr>
      </w:pPr>
      <w:r>
        <w:rPr>
          <w:bCs w:val="0"/>
          <w:color w:val="000000"/>
          <w:spacing w:val="0"/>
          <w:lang w:val="es-AR" w:eastAsia="es-AR"/>
        </w:rPr>
        <w:tab/>
      </w:r>
      <w:r>
        <w:rPr>
          <w:bCs w:val="0"/>
          <w:color w:val="000000"/>
          <w:spacing w:val="0"/>
          <w:lang w:val="es-AR" w:eastAsia="es-AR"/>
        </w:rPr>
        <w:tab/>
      </w:r>
      <w:r>
        <w:rPr>
          <w:bCs w:val="0"/>
          <w:color w:val="000000"/>
          <w:spacing w:val="0"/>
          <w:lang w:val="es-AR" w:eastAsia="es-AR"/>
        </w:rPr>
        <w:tab/>
      </w:r>
      <w:r>
        <w:rPr>
          <w:bCs w:val="0"/>
          <w:color w:val="000000"/>
          <w:spacing w:val="0"/>
          <w:lang w:val="es-AR" w:eastAsia="es-AR"/>
        </w:rPr>
        <w:tab/>
      </w:r>
      <w:r>
        <w:rPr>
          <w:bCs w:val="0"/>
          <w:color w:val="000000"/>
          <w:spacing w:val="0"/>
          <w:lang w:val="es-AR" w:eastAsia="es-AR"/>
        </w:rPr>
        <w:tab/>
        <w:t>Dichas circunstancias han sido reconocidas por la norma en análisis fijándose el siguiente</w:t>
      </w:r>
      <w:r w:rsidRPr="000A5A3A">
        <w:rPr>
          <w:bCs w:val="0"/>
          <w:i/>
          <w:color w:val="000000"/>
          <w:spacing w:val="0"/>
          <w:lang w:val="es-AR" w:eastAsia="es-AR"/>
        </w:rPr>
        <w:t xml:space="preserve"> objeto:</w:t>
      </w:r>
    </w:p>
    <w:p w:rsidR="00A40262" w:rsidRPr="000A5A3A" w:rsidRDefault="000A5A3A" w:rsidP="000A0A64">
      <w:pPr>
        <w:spacing w:line="360" w:lineRule="auto"/>
        <w:mirrorIndents/>
        <w:jc w:val="both"/>
        <w:rPr>
          <w:bCs w:val="0"/>
          <w:i/>
          <w:color w:val="000000"/>
          <w:spacing w:val="0"/>
          <w:lang w:val="es-AR" w:eastAsia="es-AR"/>
        </w:rPr>
      </w:pPr>
      <w:r w:rsidRPr="000A5A3A">
        <w:rPr>
          <w:rFonts w:ascii="Constantia" w:hAnsi="Constantia" w:cs="Arial"/>
          <w:bCs w:val="0"/>
          <w:i/>
          <w:color w:val="000000"/>
          <w:spacing w:val="0"/>
          <w:lang w:val="es-AR" w:eastAsia="es-AR"/>
        </w:rPr>
        <w:tab/>
      </w:r>
      <w:r w:rsidRPr="000A5A3A">
        <w:rPr>
          <w:rFonts w:ascii="Constantia" w:hAnsi="Constantia" w:cs="Arial"/>
          <w:bCs w:val="0"/>
          <w:i/>
          <w:color w:val="000000"/>
          <w:spacing w:val="0"/>
          <w:lang w:val="es-AR" w:eastAsia="es-AR"/>
        </w:rPr>
        <w:tab/>
      </w:r>
      <w:r w:rsidRPr="000A5A3A">
        <w:rPr>
          <w:rFonts w:ascii="Constantia" w:hAnsi="Constantia" w:cs="Arial"/>
          <w:bCs w:val="0"/>
          <w:i/>
          <w:color w:val="000000"/>
          <w:spacing w:val="0"/>
          <w:lang w:val="es-AR" w:eastAsia="es-AR"/>
        </w:rPr>
        <w:tab/>
      </w:r>
      <w:r w:rsidRPr="000A5A3A">
        <w:rPr>
          <w:rFonts w:ascii="Constantia" w:hAnsi="Constantia" w:cs="Arial"/>
          <w:bCs w:val="0"/>
          <w:i/>
          <w:color w:val="000000"/>
          <w:spacing w:val="0"/>
          <w:lang w:val="es-AR" w:eastAsia="es-AR"/>
        </w:rPr>
        <w:tab/>
      </w:r>
      <w:r w:rsidRPr="000A5A3A">
        <w:rPr>
          <w:rFonts w:ascii="Constantia" w:hAnsi="Constantia" w:cs="Arial"/>
          <w:bCs w:val="0"/>
          <w:i/>
          <w:color w:val="000000"/>
          <w:spacing w:val="0"/>
          <w:lang w:val="es-AR" w:eastAsia="es-AR"/>
        </w:rPr>
        <w:tab/>
      </w:r>
      <w:r w:rsidRPr="000A5A3A">
        <w:rPr>
          <w:bCs w:val="0"/>
          <w:i/>
          <w:color w:val="000000"/>
          <w:spacing w:val="0"/>
          <w:lang w:val="es-AR" w:eastAsia="es-AR"/>
        </w:rPr>
        <w:t>“…..</w:t>
      </w:r>
      <w:r w:rsidR="00A40262" w:rsidRPr="000A5A3A">
        <w:rPr>
          <w:bCs w:val="0"/>
          <w:i/>
          <w:color w:val="000000"/>
          <w:spacing w:val="0"/>
          <w:lang w:val="es-AR" w:eastAsia="es-AR"/>
        </w:rPr>
        <w:t>II.- La acción procede:</w:t>
      </w:r>
    </w:p>
    <w:p w:rsidR="00A40262" w:rsidRPr="000A5A3A" w:rsidRDefault="000A5A3A" w:rsidP="000A0A64">
      <w:pPr>
        <w:shd w:val="clear" w:color="auto" w:fill="FFFFFF"/>
        <w:spacing w:after="100" w:afterAutospacing="1" w:line="360" w:lineRule="auto"/>
        <w:jc w:val="both"/>
        <w:rPr>
          <w:bCs w:val="0"/>
          <w:i/>
          <w:color w:val="000000"/>
          <w:spacing w:val="0"/>
          <w:lang w:val="es-AR" w:eastAsia="es-AR"/>
        </w:rPr>
      </w:pPr>
      <w:r w:rsidRPr="000A5A3A">
        <w:rPr>
          <w:bCs w:val="0"/>
          <w:i/>
          <w:color w:val="000000"/>
          <w:spacing w:val="0"/>
          <w:lang w:val="es-AR" w:eastAsia="es-AR"/>
        </w:rPr>
        <w:tab/>
      </w:r>
      <w:r w:rsidRPr="000A5A3A">
        <w:rPr>
          <w:bCs w:val="0"/>
          <w:i/>
          <w:color w:val="000000"/>
          <w:spacing w:val="0"/>
          <w:lang w:val="es-AR" w:eastAsia="es-AR"/>
        </w:rPr>
        <w:tab/>
      </w:r>
      <w:r w:rsidRPr="000A5A3A">
        <w:rPr>
          <w:bCs w:val="0"/>
          <w:i/>
          <w:color w:val="000000"/>
          <w:spacing w:val="0"/>
          <w:lang w:val="es-AR" w:eastAsia="es-AR"/>
        </w:rPr>
        <w:tab/>
      </w:r>
      <w:r w:rsidRPr="000A5A3A">
        <w:rPr>
          <w:bCs w:val="0"/>
          <w:i/>
          <w:color w:val="000000"/>
          <w:spacing w:val="0"/>
          <w:lang w:val="es-AR" w:eastAsia="es-AR"/>
        </w:rPr>
        <w:tab/>
      </w:r>
      <w:r w:rsidRPr="000A5A3A">
        <w:rPr>
          <w:bCs w:val="0"/>
          <w:i/>
          <w:color w:val="000000"/>
          <w:spacing w:val="0"/>
          <w:lang w:val="es-AR" w:eastAsia="es-AR"/>
        </w:rPr>
        <w:tab/>
      </w:r>
      <w:r w:rsidR="00A40262" w:rsidRPr="000A5A3A">
        <w:rPr>
          <w:bCs w:val="0"/>
          <w:i/>
          <w:color w:val="000000"/>
          <w:spacing w:val="0"/>
          <w:lang w:val="es-AR" w:eastAsia="es-AR"/>
        </w:rPr>
        <w:t xml:space="preserve">1) Por adolecer la sentencia de vicios esenciales, tales como haber sido culminación de un proceso aparente o írrito, </w:t>
      </w:r>
      <w:r w:rsidRPr="000A5A3A">
        <w:rPr>
          <w:bCs w:val="0"/>
          <w:i/>
          <w:color w:val="000000"/>
          <w:spacing w:val="0"/>
          <w:lang w:val="es-AR" w:eastAsia="es-AR"/>
        </w:rPr>
        <w:tab/>
      </w:r>
      <w:r w:rsidRPr="000A5A3A">
        <w:rPr>
          <w:bCs w:val="0"/>
          <w:i/>
          <w:color w:val="000000"/>
          <w:spacing w:val="0"/>
          <w:lang w:val="es-AR" w:eastAsia="es-AR"/>
        </w:rPr>
        <w:tab/>
      </w:r>
      <w:r w:rsidRPr="000A5A3A">
        <w:rPr>
          <w:bCs w:val="0"/>
          <w:i/>
          <w:color w:val="000000"/>
          <w:spacing w:val="0"/>
          <w:lang w:val="es-AR" w:eastAsia="es-AR"/>
        </w:rPr>
        <w:tab/>
      </w:r>
      <w:r w:rsidRPr="000A5A3A">
        <w:rPr>
          <w:bCs w:val="0"/>
          <w:i/>
          <w:color w:val="000000"/>
          <w:spacing w:val="0"/>
          <w:lang w:val="es-AR" w:eastAsia="es-AR"/>
        </w:rPr>
        <w:tab/>
      </w:r>
      <w:r w:rsidRPr="000A5A3A">
        <w:rPr>
          <w:bCs w:val="0"/>
          <w:i/>
          <w:color w:val="000000"/>
          <w:spacing w:val="0"/>
          <w:lang w:val="es-AR" w:eastAsia="es-AR"/>
        </w:rPr>
        <w:tab/>
      </w:r>
      <w:r w:rsidRPr="000A5A3A">
        <w:rPr>
          <w:bCs w:val="0"/>
          <w:i/>
          <w:color w:val="000000"/>
          <w:spacing w:val="0"/>
          <w:lang w:val="es-AR" w:eastAsia="es-AR"/>
        </w:rPr>
        <w:tab/>
      </w:r>
      <w:r w:rsidRPr="000A5A3A">
        <w:rPr>
          <w:bCs w:val="0"/>
          <w:i/>
          <w:color w:val="000000"/>
          <w:spacing w:val="0"/>
          <w:lang w:val="es-AR" w:eastAsia="es-AR"/>
        </w:rPr>
        <w:tab/>
      </w:r>
      <w:r w:rsidR="00A40262" w:rsidRPr="000A5A3A">
        <w:rPr>
          <w:bCs w:val="0"/>
          <w:i/>
          <w:color w:val="000000"/>
          <w:spacing w:val="0"/>
          <w:lang w:val="es-AR" w:eastAsia="es-AR"/>
        </w:rPr>
        <w:t>simulado o fraudulento, o resultar de actividades que hayan determinado vicios de la voluntad u otros sustanciales.</w:t>
      </w:r>
    </w:p>
    <w:p w:rsidR="00A40262" w:rsidRPr="000A5A3A" w:rsidRDefault="000A5A3A" w:rsidP="000A0A64">
      <w:pPr>
        <w:shd w:val="clear" w:color="auto" w:fill="FFFFFF"/>
        <w:spacing w:after="100" w:afterAutospacing="1" w:line="360" w:lineRule="auto"/>
        <w:jc w:val="both"/>
        <w:rPr>
          <w:bCs w:val="0"/>
          <w:i/>
          <w:color w:val="000000"/>
          <w:spacing w:val="0"/>
          <w:lang w:val="es-AR" w:eastAsia="es-AR"/>
        </w:rPr>
      </w:pPr>
      <w:r w:rsidRPr="000A5A3A">
        <w:rPr>
          <w:bCs w:val="0"/>
          <w:i/>
          <w:color w:val="000000"/>
          <w:spacing w:val="0"/>
          <w:lang w:val="es-AR" w:eastAsia="es-AR"/>
        </w:rPr>
        <w:tab/>
      </w:r>
      <w:r w:rsidRPr="000A5A3A">
        <w:rPr>
          <w:bCs w:val="0"/>
          <w:i/>
          <w:color w:val="000000"/>
          <w:spacing w:val="0"/>
          <w:lang w:val="es-AR" w:eastAsia="es-AR"/>
        </w:rPr>
        <w:tab/>
      </w:r>
      <w:r w:rsidRPr="000A5A3A">
        <w:rPr>
          <w:bCs w:val="0"/>
          <w:i/>
          <w:color w:val="000000"/>
          <w:spacing w:val="0"/>
          <w:lang w:val="es-AR" w:eastAsia="es-AR"/>
        </w:rPr>
        <w:tab/>
      </w:r>
      <w:r w:rsidRPr="000A5A3A">
        <w:rPr>
          <w:bCs w:val="0"/>
          <w:i/>
          <w:color w:val="000000"/>
          <w:spacing w:val="0"/>
          <w:lang w:val="es-AR" w:eastAsia="es-AR"/>
        </w:rPr>
        <w:tab/>
      </w:r>
      <w:r w:rsidRPr="000A5A3A">
        <w:rPr>
          <w:bCs w:val="0"/>
          <w:i/>
          <w:color w:val="000000"/>
          <w:spacing w:val="0"/>
          <w:lang w:val="es-AR" w:eastAsia="es-AR"/>
        </w:rPr>
        <w:tab/>
      </w:r>
      <w:r w:rsidR="00A40262" w:rsidRPr="000A5A3A">
        <w:rPr>
          <w:bCs w:val="0"/>
          <w:i/>
          <w:color w:val="000000"/>
          <w:spacing w:val="0"/>
          <w:lang w:val="es-AR" w:eastAsia="es-AR"/>
        </w:rPr>
        <w:t>2) En los casos receptados por el Código Civil y Comercial;</w:t>
      </w:r>
    </w:p>
    <w:p w:rsidR="00A40262" w:rsidRDefault="000A5A3A" w:rsidP="000A0A64">
      <w:pPr>
        <w:shd w:val="clear" w:color="auto" w:fill="FFFFFF"/>
        <w:spacing w:after="100" w:afterAutospacing="1" w:line="360" w:lineRule="auto"/>
        <w:jc w:val="both"/>
        <w:rPr>
          <w:bCs w:val="0"/>
          <w:i/>
          <w:color w:val="000000"/>
          <w:spacing w:val="0"/>
          <w:lang w:val="es-AR" w:eastAsia="es-AR"/>
        </w:rPr>
      </w:pPr>
      <w:r w:rsidRPr="000A5A3A">
        <w:rPr>
          <w:bCs w:val="0"/>
          <w:i/>
          <w:color w:val="000000"/>
          <w:spacing w:val="0"/>
          <w:lang w:val="es-AR" w:eastAsia="es-AR"/>
        </w:rPr>
        <w:tab/>
      </w:r>
      <w:r w:rsidRPr="000A5A3A">
        <w:rPr>
          <w:bCs w:val="0"/>
          <w:i/>
          <w:color w:val="000000"/>
          <w:spacing w:val="0"/>
          <w:lang w:val="es-AR" w:eastAsia="es-AR"/>
        </w:rPr>
        <w:tab/>
      </w:r>
      <w:r w:rsidRPr="000A5A3A">
        <w:rPr>
          <w:bCs w:val="0"/>
          <w:i/>
          <w:color w:val="000000"/>
          <w:spacing w:val="0"/>
          <w:lang w:val="es-AR" w:eastAsia="es-AR"/>
        </w:rPr>
        <w:tab/>
      </w:r>
      <w:r w:rsidRPr="000A5A3A">
        <w:rPr>
          <w:bCs w:val="0"/>
          <w:i/>
          <w:color w:val="000000"/>
          <w:spacing w:val="0"/>
          <w:lang w:val="es-AR" w:eastAsia="es-AR"/>
        </w:rPr>
        <w:tab/>
      </w:r>
      <w:r w:rsidRPr="000A5A3A">
        <w:rPr>
          <w:bCs w:val="0"/>
          <w:i/>
          <w:color w:val="000000"/>
          <w:spacing w:val="0"/>
          <w:lang w:val="es-AR" w:eastAsia="es-AR"/>
        </w:rPr>
        <w:tab/>
      </w:r>
      <w:r w:rsidR="00A40262" w:rsidRPr="000A5A3A">
        <w:rPr>
          <w:bCs w:val="0"/>
          <w:i/>
          <w:color w:val="000000"/>
          <w:spacing w:val="0"/>
          <w:lang w:val="es-AR" w:eastAsia="es-AR"/>
        </w:rPr>
        <w:t>3) Por los motivos enumerados en el Art. 144 inc. 9° de la Constitución de Mendoza</w:t>
      </w:r>
      <w:r w:rsidRPr="000A5A3A">
        <w:rPr>
          <w:bCs w:val="0"/>
          <w:i/>
          <w:color w:val="000000"/>
          <w:spacing w:val="0"/>
          <w:lang w:val="es-AR" w:eastAsia="es-AR"/>
        </w:rPr>
        <w:t>….”</w:t>
      </w:r>
    </w:p>
    <w:p w:rsidR="000A5A3A" w:rsidRDefault="006044EB" w:rsidP="000A0A64">
      <w:pPr>
        <w:pStyle w:val="Prrafodelista"/>
        <w:numPr>
          <w:ilvl w:val="0"/>
          <w:numId w:val="5"/>
        </w:numPr>
        <w:shd w:val="clear" w:color="auto" w:fill="FFFFFF"/>
        <w:spacing w:after="100" w:afterAutospacing="1" w:line="360" w:lineRule="auto"/>
        <w:jc w:val="both"/>
        <w:rPr>
          <w:bCs w:val="0"/>
          <w:color w:val="000000"/>
          <w:spacing w:val="0"/>
          <w:lang w:val="es-AR" w:eastAsia="es-AR"/>
        </w:rPr>
      </w:pPr>
      <w:r w:rsidRPr="006B7A16">
        <w:rPr>
          <w:bCs w:val="0"/>
          <w:color w:val="000000"/>
          <w:spacing w:val="0"/>
          <w:lang w:val="es-AR" w:eastAsia="es-AR"/>
        </w:rPr>
        <w:t xml:space="preserve">Como se observa, la norma analizada prevé tres tipos de supuestos que constituyen el objeto de la pretensión revisora,  </w:t>
      </w:r>
      <w:r w:rsidR="00362016" w:rsidRPr="006B7A16">
        <w:rPr>
          <w:bCs w:val="0"/>
          <w:color w:val="000000"/>
          <w:spacing w:val="0"/>
          <w:lang w:val="es-AR" w:eastAsia="es-AR"/>
        </w:rPr>
        <w:t>comprendiendo también los vicios del consentimiento, cumpliendo de esta manera lo que la doctrinara mayoritaria comprendía  dentro de</w:t>
      </w:r>
      <w:r w:rsidR="00B826D2" w:rsidRPr="006B7A16">
        <w:rPr>
          <w:bCs w:val="0"/>
          <w:color w:val="000000"/>
          <w:spacing w:val="0"/>
          <w:lang w:val="es-AR" w:eastAsia="es-AR"/>
        </w:rPr>
        <w:t xml:space="preserve"> dicho concepto. Por consiguiente al ser considerada la teoría del acto jurídico como comprensible del acto jurídico procesal, cabe extender a este último las causales de invalidez </w:t>
      </w:r>
      <w:r w:rsidR="00D35268" w:rsidRPr="006B7A16">
        <w:rPr>
          <w:bCs w:val="0"/>
          <w:color w:val="000000"/>
          <w:spacing w:val="0"/>
          <w:lang w:val="es-AR" w:eastAsia="es-AR"/>
        </w:rPr>
        <w:t xml:space="preserve">de dicho acto </w:t>
      </w:r>
      <w:r w:rsidR="00D35268">
        <w:rPr>
          <w:rStyle w:val="Refdenotaalpie"/>
          <w:bCs w:val="0"/>
          <w:color w:val="000000"/>
          <w:spacing w:val="0"/>
          <w:lang w:val="es-AR" w:eastAsia="es-AR"/>
        </w:rPr>
        <w:footnoteReference w:id="20"/>
      </w:r>
      <w:r w:rsidR="00362016">
        <w:rPr>
          <w:rStyle w:val="Refdenotaalpie"/>
          <w:bCs w:val="0"/>
          <w:color w:val="000000"/>
          <w:spacing w:val="0"/>
          <w:lang w:val="es-AR" w:eastAsia="es-AR"/>
        </w:rPr>
        <w:footnoteReference w:id="21"/>
      </w:r>
      <w:r w:rsidR="00362016">
        <w:rPr>
          <w:rStyle w:val="Refdenotaalpie"/>
          <w:bCs w:val="0"/>
          <w:color w:val="000000"/>
          <w:spacing w:val="0"/>
          <w:lang w:val="es-AR" w:eastAsia="es-AR"/>
        </w:rPr>
        <w:footnoteReference w:id="22"/>
      </w:r>
      <w:r w:rsidR="00362016">
        <w:rPr>
          <w:rStyle w:val="Refdenotaalpie"/>
          <w:bCs w:val="0"/>
          <w:color w:val="000000"/>
          <w:spacing w:val="0"/>
          <w:lang w:val="es-AR" w:eastAsia="es-AR"/>
        </w:rPr>
        <w:footnoteReference w:id="23"/>
      </w:r>
    </w:p>
    <w:p w:rsidR="001F1A38" w:rsidRDefault="006B7A16" w:rsidP="000A0A64">
      <w:pPr>
        <w:pStyle w:val="Prrafodelista"/>
        <w:numPr>
          <w:ilvl w:val="0"/>
          <w:numId w:val="5"/>
        </w:numPr>
        <w:shd w:val="clear" w:color="auto" w:fill="FFFFFF"/>
        <w:spacing w:after="100" w:afterAutospacing="1" w:line="360" w:lineRule="auto"/>
        <w:jc w:val="both"/>
        <w:rPr>
          <w:bCs w:val="0"/>
          <w:color w:val="000000"/>
          <w:spacing w:val="0"/>
          <w:lang w:val="es-AR" w:eastAsia="es-AR"/>
        </w:rPr>
      </w:pPr>
      <w:r>
        <w:rPr>
          <w:bCs w:val="0"/>
          <w:color w:val="000000"/>
          <w:spacing w:val="0"/>
          <w:lang w:val="es-AR" w:eastAsia="es-AR"/>
        </w:rPr>
        <w:t xml:space="preserve">Indica </w:t>
      </w:r>
      <w:r w:rsidR="00250B97">
        <w:rPr>
          <w:bCs w:val="0"/>
          <w:color w:val="000000"/>
          <w:spacing w:val="0"/>
          <w:lang w:val="es-AR" w:eastAsia="es-AR"/>
        </w:rPr>
        <w:t xml:space="preserve">a continuación </w:t>
      </w:r>
      <w:r>
        <w:rPr>
          <w:bCs w:val="0"/>
          <w:color w:val="000000"/>
          <w:spacing w:val="0"/>
          <w:lang w:val="es-AR" w:eastAsia="es-AR"/>
        </w:rPr>
        <w:t xml:space="preserve">la norma analizada que la acción procede también en los casos receptados por el Código Civil y Comercial de la Nación, lo que implica el reconocimiento </w:t>
      </w:r>
      <w:r w:rsidR="00250B97">
        <w:rPr>
          <w:bCs w:val="0"/>
          <w:color w:val="000000"/>
          <w:spacing w:val="0"/>
          <w:lang w:val="es-AR" w:eastAsia="es-AR"/>
        </w:rPr>
        <w:t>legal de la acción de revisión regulada por el art. 1.780 del Código</w:t>
      </w:r>
      <w:r w:rsidR="001F1A38">
        <w:rPr>
          <w:bCs w:val="0"/>
          <w:color w:val="000000"/>
          <w:spacing w:val="0"/>
          <w:lang w:val="es-AR" w:eastAsia="es-AR"/>
        </w:rPr>
        <w:t xml:space="preserve"> de fondo</w:t>
      </w:r>
      <w:r w:rsidR="001F1A38">
        <w:rPr>
          <w:rStyle w:val="Refdenotaalpie"/>
          <w:bCs w:val="0"/>
          <w:color w:val="000000"/>
          <w:spacing w:val="0"/>
          <w:lang w:val="es-AR" w:eastAsia="es-AR"/>
        </w:rPr>
        <w:footnoteReference w:id="24"/>
      </w:r>
    </w:p>
    <w:p w:rsidR="00573B78" w:rsidRDefault="00573B78" w:rsidP="000A0A64">
      <w:pPr>
        <w:pStyle w:val="Prrafodelista"/>
        <w:numPr>
          <w:ilvl w:val="0"/>
          <w:numId w:val="7"/>
        </w:numPr>
        <w:shd w:val="clear" w:color="auto" w:fill="FFFFFF"/>
        <w:spacing w:after="100" w:afterAutospacing="1" w:line="360" w:lineRule="auto"/>
        <w:jc w:val="both"/>
        <w:rPr>
          <w:bCs w:val="0"/>
          <w:color w:val="000000"/>
          <w:spacing w:val="0"/>
          <w:lang w:val="es-AR" w:eastAsia="es-AR"/>
        </w:rPr>
      </w:pPr>
      <w:r w:rsidRPr="00573B78">
        <w:rPr>
          <w:bCs w:val="0"/>
          <w:color w:val="000000"/>
          <w:spacing w:val="0"/>
          <w:lang w:val="es-AR" w:eastAsia="es-AR"/>
        </w:rPr>
        <w:t>El artículo establece el principio conforme al cual, pese a la preeminencia de la cosa juzgada penal sobre la civil, una vez firme la decisión en esta última jurisdicción, la decisión punitiva posterior en sentido contrario no tendrá efectos sobre ella</w:t>
      </w:r>
      <w:r>
        <w:rPr>
          <w:rStyle w:val="Refdenotaalpie"/>
          <w:bCs w:val="0"/>
          <w:color w:val="000000"/>
          <w:spacing w:val="0"/>
          <w:lang w:val="es-AR" w:eastAsia="es-AR"/>
        </w:rPr>
        <w:footnoteReference w:id="25"/>
      </w:r>
      <w:r w:rsidR="00E808F9">
        <w:rPr>
          <w:rStyle w:val="Refdenotaalpie"/>
          <w:bCs w:val="0"/>
          <w:color w:val="000000"/>
          <w:spacing w:val="0"/>
          <w:lang w:val="es-AR" w:eastAsia="es-AR"/>
        </w:rPr>
        <w:footnoteReference w:id="26"/>
      </w:r>
      <w:r w:rsidR="00997A58">
        <w:rPr>
          <w:rStyle w:val="Refdenotaalpie"/>
          <w:bCs w:val="0"/>
          <w:color w:val="000000"/>
          <w:spacing w:val="0"/>
          <w:lang w:val="es-AR" w:eastAsia="es-AR"/>
        </w:rPr>
        <w:footnoteReference w:id="27"/>
      </w:r>
      <w:r w:rsidR="00F87504">
        <w:rPr>
          <w:rStyle w:val="Refdenotaalpie"/>
          <w:bCs w:val="0"/>
          <w:color w:val="000000"/>
          <w:spacing w:val="0"/>
          <w:lang w:val="es-AR" w:eastAsia="es-AR"/>
        </w:rPr>
        <w:footnoteReference w:id="28"/>
      </w:r>
      <w:r w:rsidRPr="00573B78">
        <w:rPr>
          <w:bCs w:val="0"/>
          <w:color w:val="000000"/>
          <w:spacing w:val="0"/>
          <w:lang w:val="es-AR" w:eastAsia="es-AR"/>
        </w:rPr>
        <w:t>.</w:t>
      </w:r>
    </w:p>
    <w:p w:rsidR="00E460B9" w:rsidRDefault="00BC52A9" w:rsidP="000A0A64">
      <w:pPr>
        <w:pStyle w:val="Prrafodelista"/>
        <w:numPr>
          <w:ilvl w:val="0"/>
          <w:numId w:val="7"/>
        </w:numPr>
        <w:shd w:val="clear" w:color="auto" w:fill="FFFFFF"/>
        <w:spacing w:after="100" w:afterAutospacing="1" w:line="360" w:lineRule="auto"/>
        <w:jc w:val="both"/>
        <w:rPr>
          <w:bCs w:val="0"/>
          <w:color w:val="000000"/>
          <w:spacing w:val="0"/>
          <w:lang w:val="es-AR" w:eastAsia="es-AR"/>
        </w:rPr>
      </w:pPr>
      <w:r w:rsidRPr="00E460B9">
        <w:rPr>
          <w:bCs w:val="0"/>
          <w:color w:val="000000"/>
          <w:spacing w:val="0"/>
          <w:lang w:val="es-AR" w:eastAsia="es-AR"/>
        </w:rPr>
        <w:t>Lo que sí resulta una innovación es la excepción que la misma norma consagra a renglón seguido. Así esta preceptúa que ello será así “excepto en el caso de revisión”.</w:t>
      </w:r>
    </w:p>
    <w:p w:rsidR="00E460B9" w:rsidRPr="00E460B9" w:rsidRDefault="00E460B9" w:rsidP="000A0A64">
      <w:pPr>
        <w:pStyle w:val="Prrafodelista"/>
        <w:numPr>
          <w:ilvl w:val="0"/>
          <w:numId w:val="7"/>
        </w:numPr>
        <w:shd w:val="clear" w:color="auto" w:fill="FFFFFF"/>
        <w:spacing w:after="100" w:afterAutospacing="1" w:line="360" w:lineRule="auto"/>
        <w:jc w:val="both"/>
        <w:rPr>
          <w:bCs w:val="0"/>
          <w:color w:val="000000"/>
          <w:spacing w:val="0"/>
          <w:lang w:val="es-AR" w:eastAsia="es-AR"/>
        </w:rPr>
      </w:pPr>
      <w:r w:rsidRPr="00E460B9">
        <w:rPr>
          <w:bCs w:val="0"/>
          <w:color w:val="000000"/>
          <w:spacing w:val="0"/>
          <w:lang w:val="es-AR" w:eastAsia="es-AR"/>
        </w:rPr>
        <w:t xml:space="preserve">La misma presenta como nota característica la petición de parte interesada, nunca </w:t>
      </w:r>
      <w:r w:rsidRPr="00E460B9">
        <w:rPr>
          <w:bCs w:val="0"/>
          <w:i/>
          <w:color w:val="000000"/>
          <w:spacing w:val="0"/>
          <w:lang w:val="es-AR" w:eastAsia="es-AR"/>
        </w:rPr>
        <w:t>“ex officio”</w:t>
      </w:r>
    </w:p>
    <w:p w:rsidR="00DC6E2B" w:rsidRPr="00183D40" w:rsidRDefault="009235A0" w:rsidP="000A0A64">
      <w:pPr>
        <w:pStyle w:val="Prrafodelista"/>
        <w:numPr>
          <w:ilvl w:val="0"/>
          <w:numId w:val="7"/>
        </w:numPr>
        <w:shd w:val="clear" w:color="auto" w:fill="FFFFFF"/>
        <w:spacing w:after="100" w:afterAutospacing="1" w:line="360" w:lineRule="auto"/>
        <w:jc w:val="both"/>
        <w:rPr>
          <w:rFonts w:ascii="Constantia" w:hAnsi="Constantia" w:cs="Arial"/>
          <w:bCs w:val="0"/>
          <w:color w:val="000000"/>
          <w:spacing w:val="0"/>
          <w:lang w:val="es-AR" w:eastAsia="es-AR"/>
        </w:rPr>
      </w:pPr>
      <w:r w:rsidRPr="00715983">
        <w:rPr>
          <w:bCs w:val="0"/>
          <w:color w:val="000000"/>
          <w:spacing w:val="0"/>
          <w:lang w:val="es-AR" w:eastAsia="es-AR"/>
        </w:rPr>
        <w:t xml:space="preserve">La procedencia de dicha revisión procede </w:t>
      </w:r>
      <w:r w:rsidR="009D1A43" w:rsidRPr="00715983">
        <w:rPr>
          <w:bCs w:val="0"/>
          <w:color w:val="000000"/>
          <w:spacing w:val="0"/>
          <w:lang w:val="es-AR" w:eastAsia="es-AR"/>
        </w:rPr>
        <w:t xml:space="preserve">en el primer supuesto cuando la </w:t>
      </w:r>
      <w:r w:rsidRPr="00715983">
        <w:rPr>
          <w:bCs w:val="0"/>
          <w:color w:val="000000"/>
          <w:spacing w:val="0"/>
          <w:lang w:val="es-AR" w:eastAsia="es-AR"/>
        </w:rPr>
        <w:t>sentencia penal anterior, es revisada respecto de los extremos que también</w:t>
      </w:r>
      <w:r w:rsidR="009D1A43" w:rsidRPr="00715983">
        <w:rPr>
          <w:bCs w:val="0"/>
          <w:color w:val="000000"/>
          <w:spacing w:val="0"/>
          <w:lang w:val="es-AR" w:eastAsia="es-AR"/>
        </w:rPr>
        <w:t xml:space="preserve"> </w:t>
      </w:r>
      <w:r w:rsidRPr="00715983">
        <w:rPr>
          <w:bCs w:val="0"/>
          <w:color w:val="000000"/>
          <w:spacing w:val="0"/>
          <w:lang w:val="es-AR" w:eastAsia="es-AR"/>
        </w:rPr>
        <w:t xml:space="preserve">fueron valorados en la decisión civil. </w:t>
      </w:r>
      <w:r w:rsidR="009D1A43" w:rsidRPr="00715983">
        <w:rPr>
          <w:bCs w:val="0"/>
          <w:color w:val="000000"/>
          <w:spacing w:val="0"/>
          <w:lang w:val="es-AR" w:eastAsia="es-AR"/>
        </w:rPr>
        <w:t xml:space="preserve">No toda “novel” decisión habilitaría la revisión de la sentencia civil sino aquella que se expida sobre extremos relevantes tomados en cuenta por el juez civil para sentenciar </w:t>
      </w:r>
      <w:r w:rsidR="00715983" w:rsidRPr="00715983">
        <w:rPr>
          <w:bCs w:val="0"/>
          <w:color w:val="000000"/>
          <w:spacing w:val="0"/>
          <w:lang w:val="es-AR" w:eastAsia="es-AR"/>
        </w:rPr>
        <w:t xml:space="preserve">(v.g. </w:t>
      </w:r>
      <w:r w:rsidRPr="00715983">
        <w:rPr>
          <w:bCs w:val="0"/>
          <w:color w:val="000000"/>
          <w:spacing w:val="0"/>
          <w:lang w:val="es-AR" w:eastAsia="es-AR"/>
        </w:rPr>
        <w:t>la existencia del hecho generador de responsabilidad o la autoría del agente</w:t>
      </w:r>
      <w:r w:rsidR="00715983">
        <w:rPr>
          <w:bCs w:val="0"/>
          <w:color w:val="000000"/>
          <w:spacing w:val="0"/>
          <w:lang w:val="es-AR" w:eastAsia="es-AR"/>
        </w:rPr>
        <w:t>) pero no cuando sean para este irrelevantes</w:t>
      </w:r>
      <w:r w:rsidR="00715983">
        <w:rPr>
          <w:rStyle w:val="Refdenotaalpie"/>
          <w:bCs w:val="0"/>
          <w:color w:val="000000"/>
          <w:spacing w:val="0"/>
          <w:lang w:val="es-AR" w:eastAsia="es-AR"/>
        </w:rPr>
        <w:footnoteReference w:id="29"/>
      </w:r>
      <w:r w:rsidR="00715983">
        <w:rPr>
          <w:bCs w:val="0"/>
          <w:color w:val="000000"/>
          <w:spacing w:val="0"/>
          <w:lang w:val="es-AR" w:eastAsia="es-AR"/>
        </w:rPr>
        <w:t xml:space="preserve"> </w:t>
      </w:r>
    </w:p>
    <w:p w:rsidR="00041A7E" w:rsidRPr="00041A7E" w:rsidRDefault="000C00EE" w:rsidP="000A0A64">
      <w:pPr>
        <w:pStyle w:val="Prrafodelista"/>
        <w:numPr>
          <w:ilvl w:val="0"/>
          <w:numId w:val="7"/>
        </w:numPr>
        <w:shd w:val="clear" w:color="auto" w:fill="FFFFFF"/>
        <w:spacing w:after="100" w:afterAutospacing="1" w:line="360" w:lineRule="auto"/>
        <w:jc w:val="both"/>
        <w:rPr>
          <w:bCs w:val="0"/>
          <w:color w:val="000000"/>
          <w:spacing w:val="0"/>
          <w:lang w:val="es-AR" w:eastAsia="es-AR"/>
        </w:rPr>
      </w:pPr>
      <w:r>
        <w:rPr>
          <w:bCs w:val="0"/>
          <w:color w:val="000000"/>
          <w:spacing w:val="0"/>
          <w:lang w:val="es-AR" w:eastAsia="es-AR"/>
        </w:rPr>
        <w:t xml:space="preserve">También </w:t>
      </w:r>
      <w:r w:rsidR="00342CE7">
        <w:rPr>
          <w:bCs w:val="0"/>
          <w:color w:val="000000"/>
          <w:spacing w:val="0"/>
          <w:lang w:val="es-AR" w:eastAsia="es-AR"/>
        </w:rPr>
        <w:t xml:space="preserve">prevé la inmutabilidad de </w:t>
      </w:r>
      <w:r w:rsidR="00183D40" w:rsidRPr="00183D40">
        <w:rPr>
          <w:bCs w:val="0"/>
          <w:color w:val="000000"/>
          <w:spacing w:val="0"/>
          <w:lang w:val="es-AR" w:eastAsia="es-AR"/>
        </w:rPr>
        <w:t xml:space="preserve">la sentencia civil si el dictado de una nueva decisión en la sede punitiva se vincula con una modificación de la legislación penal. </w:t>
      </w:r>
      <w:r w:rsidR="00342CE7">
        <w:rPr>
          <w:rStyle w:val="Refdenotaalpie"/>
          <w:bCs w:val="0"/>
          <w:color w:val="000000"/>
          <w:spacing w:val="0"/>
          <w:lang w:val="es-AR" w:eastAsia="es-AR"/>
        </w:rPr>
        <w:footnoteReference w:id="30"/>
      </w:r>
      <w:r w:rsidR="00342CE7" w:rsidRPr="00342CE7">
        <w:t xml:space="preserve"> </w:t>
      </w:r>
    </w:p>
    <w:p w:rsidR="00183D40" w:rsidRDefault="000C00EE" w:rsidP="000A0A64">
      <w:pPr>
        <w:pStyle w:val="Prrafodelista"/>
        <w:numPr>
          <w:ilvl w:val="0"/>
          <w:numId w:val="7"/>
        </w:numPr>
        <w:shd w:val="clear" w:color="auto" w:fill="FFFFFF"/>
        <w:spacing w:after="100" w:afterAutospacing="1" w:line="360" w:lineRule="auto"/>
        <w:jc w:val="both"/>
        <w:rPr>
          <w:bCs w:val="0"/>
          <w:color w:val="000000"/>
          <w:spacing w:val="0"/>
          <w:lang w:val="es-AR" w:eastAsia="es-AR"/>
        </w:rPr>
      </w:pPr>
      <w:r>
        <w:t xml:space="preserve">El segundo supuesto </w:t>
      </w:r>
      <w:r w:rsidR="00D67C3B">
        <w:t xml:space="preserve">determina la procedencia de la </w:t>
      </w:r>
      <w:r w:rsidR="00342CE7" w:rsidRPr="00722343">
        <w:rPr>
          <w:bCs w:val="0"/>
          <w:color w:val="000000"/>
          <w:spacing w:val="0"/>
          <w:lang w:val="es-AR" w:eastAsia="es-AR"/>
        </w:rPr>
        <w:t>revisión de</w:t>
      </w:r>
      <w:r w:rsidR="00D67C3B" w:rsidRPr="00722343">
        <w:rPr>
          <w:bCs w:val="0"/>
          <w:color w:val="000000"/>
          <w:spacing w:val="0"/>
          <w:lang w:val="es-AR" w:eastAsia="es-AR"/>
        </w:rPr>
        <w:t xml:space="preserve">l decisorio civil  cuando su dictado fue realizado </w:t>
      </w:r>
      <w:r w:rsidR="00342CE7" w:rsidRPr="00722343">
        <w:rPr>
          <w:bCs w:val="0"/>
          <w:color w:val="000000"/>
          <w:spacing w:val="0"/>
          <w:lang w:val="es-AR" w:eastAsia="es-AR"/>
        </w:rPr>
        <w:t>pese a la existencia</w:t>
      </w:r>
      <w:r w:rsidR="00041A7E" w:rsidRPr="00722343">
        <w:rPr>
          <w:bCs w:val="0"/>
          <w:color w:val="000000"/>
          <w:spacing w:val="0"/>
          <w:lang w:val="es-AR" w:eastAsia="es-AR"/>
        </w:rPr>
        <w:t xml:space="preserve"> </w:t>
      </w:r>
      <w:r w:rsidR="00342CE7" w:rsidRPr="00722343">
        <w:rPr>
          <w:bCs w:val="0"/>
          <w:color w:val="000000"/>
          <w:spacing w:val="0"/>
          <w:lang w:val="es-AR" w:eastAsia="es-AR"/>
        </w:rPr>
        <w:t>de una acción penal en trámite</w:t>
      </w:r>
      <w:r w:rsidR="001C66F7">
        <w:rPr>
          <w:bCs w:val="0"/>
          <w:color w:val="000000"/>
          <w:spacing w:val="0"/>
          <w:lang w:val="es-AR" w:eastAsia="es-AR"/>
        </w:rPr>
        <w:t xml:space="preserve"> (supuesto de dilación del proceso penal) </w:t>
      </w:r>
      <w:r w:rsidR="00342CE7" w:rsidRPr="00722343">
        <w:rPr>
          <w:bCs w:val="0"/>
          <w:color w:val="000000"/>
          <w:spacing w:val="0"/>
          <w:lang w:val="es-AR" w:eastAsia="es-AR"/>
        </w:rPr>
        <w:t>, por resultar de aplicación al caso un factor objetivo</w:t>
      </w:r>
      <w:r w:rsidR="00041A7E" w:rsidRPr="00722343">
        <w:rPr>
          <w:bCs w:val="0"/>
          <w:color w:val="000000"/>
          <w:spacing w:val="0"/>
          <w:lang w:val="es-AR" w:eastAsia="es-AR"/>
        </w:rPr>
        <w:t xml:space="preserve"> </w:t>
      </w:r>
      <w:r w:rsidR="00342CE7" w:rsidRPr="00722343">
        <w:rPr>
          <w:bCs w:val="0"/>
          <w:color w:val="000000"/>
          <w:spacing w:val="0"/>
          <w:lang w:val="es-AR" w:eastAsia="es-AR"/>
        </w:rPr>
        <w:t>de atribución (art. 1775, inc. c, CCC</w:t>
      </w:r>
      <w:r w:rsidR="00D67C3B" w:rsidRPr="00722343">
        <w:rPr>
          <w:bCs w:val="0"/>
          <w:color w:val="000000"/>
          <w:spacing w:val="0"/>
          <w:lang w:val="es-AR" w:eastAsia="es-AR"/>
        </w:rPr>
        <w:t>N</w:t>
      </w:r>
      <w:r w:rsidR="00722343" w:rsidRPr="00722343">
        <w:rPr>
          <w:bCs w:val="0"/>
          <w:color w:val="000000"/>
          <w:spacing w:val="0"/>
          <w:lang w:val="es-AR" w:eastAsia="es-AR"/>
        </w:rPr>
        <w:t xml:space="preserve">  y </w:t>
      </w:r>
      <w:r w:rsidR="00722343">
        <w:rPr>
          <w:bCs w:val="0"/>
          <w:color w:val="000000"/>
          <w:spacing w:val="0"/>
          <w:lang w:val="es-AR" w:eastAsia="es-AR"/>
        </w:rPr>
        <w:t xml:space="preserve">la </w:t>
      </w:r>
      <w:r w:rsidR="00342CE7" w:rsidRPr="00722343">
        <w:rPr>
          <w:bCs w:val="0"/>
          <w:color w:val="000000"/>
          <w:spacing w:val="0"/>
          <w:lang w:val="es-AR" w:eastAsia="es-AR"/>
        </w:rPr>
        <w:t xml:space="preserve">sentencia </w:t>
      </w:r>
      <w:r w:rsidR="00722343">
        <w:rPr>
          <w:bCs w:val="0"/>
          <w:color w:val="000000"/>
          <w:spacing w:val="0"/>
          <w:lang w:val="es-AR" w:eastAsia="es-AR"/>
        </w:rPr>
        <w:t xml:space="preserve">penal posterior es </w:t>
      </w:r>
      <w:r w:rsidR="00342CE7" w:rsidRPr="00722343">
        <w:rPr>
          <w:bCs w:val="0"/>
          <w:color w:val="000000"/>
          <w:spacing w:val="0"/>
          <w:lang w:val="es-AR" w:eastAsia="es-AR"/>
        </w:rPr>
        <w:t>contraria en</w:t>
      </w:r>
      <w:r w:rsidR="00041A7E" w:rsidRPr="00722343">
        <w:rPr>
          <w:bCs w:val="0"/>
          <w:color w:val="000000"/>
          <w:spacing w:val="0"/>
          <w:lang w:val="es-AR" w:eastAsia="es-AR"/>
        </w:rPr>
        <w:t xml:space="preserve"> </w:t>
      </w:r>
      <w:r w:rsidR="00342CE7" w:rsidRPr="00722343">
        <w:rPr>
          <w:bCs w:val="0"/>
          <w:color w:val="000000"/>
          <w:spacing w:val="0"/>
          <w:lang w:val="es-AR" w:eastAsia="es-AR"/>
        </w:rPr>
        <w:t>a los presupuestos tenidos en cuenta por el art. 1777 CCC</w:t>
      </w:r>
      <w:r w:rsidR="00B72DF6">
        <w:rPr>
          <w:bCs w:val="0"/>
          <w:color w:val="000000"/>
          <w:spacing w:val="0"/>
          <w:lang w:val="es-AR" w:eastAsia="es-AR"/>
        </w:rPr>
        <w:t>N (</w:t>
      </w:r>
      <w:r w:rsidR="00342CE7" w:rsidRPr="00722343">
        <w:rPr>
          <w:bCs w:val="0"/>
          <w:color w:val="000000"/>
          <w:spacing w:val="0"/>
          <w:lang w:val="es-AR" w:eastAsia="es-AR"/>
        </w:rPr>
        <w:t>el sindicado como responsable no participó en el hecho ilícito, o que dicho</w:t>
      </w:r>
      <w:r w:rsidR="00041A7E" w:rsidRPr="00722343">
        <w:rPr>
          <w:bCs w:val="0"/>
          <w:color w:val="000000"/>
          <w:spacing w:val="0"/>
          <w:lang w:val="es-AR" w:eastAsia="es-AR"/>
        </w:rPr>
        <w:t xml:space="preserve"> </w:t>
      </w:r>
      <w:r w:rsidR="00B72DF6">
        <w:rPr>
          <w:bCs w:val="0"/>
          <w:color w:val="000000"/>
          <w:spacing w:val="0"/>
          <w:lang w:val="es-AR" w:eastAsia="es-AR"/>
        </w:rPr>
        <w:t>hecho no existió</w:t>
      </w:r>
      <w:r w:rsidR="00342CE7" w:rsidRPr="00722343">
        <w:rPr>
          <w:bCs w:val="0"/>
          <w:color w:val="000000"/>
          <w:spacing w:val="0"/>
          <w:lang w:val="es-AR" w:eastAsia="es-AR"/>
        </w:rPr>
        <w:t>.</w:t>
      </w:r>
    </w:p>
    <w:p w:rsidR="00E460B9" w:rsidRPr="007C73C8" w:rsidRDefault="003312B8" w:rsidP="000A0A64">
      <w:pPr>
        <w:pStyle w:val="Prrafodelista"/>
        <w:numPr>
          <w:ilvl w:val="0"/>
          <w:numId w:val="7"/>
        </w:numPr>
        <w:shd w:val="clear" w:color="auto" w:fill="FFFFFF"/>
        <w:spacing w:after="100" w:afterAutospacing="1" w:line="360" w:lineRule="auto"/>
        <w:jc w:val="both"/>
        <w:rPr>
          <w:rFonts w:ascii="Constantia" w:hAnsi="Constantia" w:cs="Arial"/>
          <w:bCs w:val="0"/>
          <w:color w:val="000000"/>
          <w:spacing w:val="0"/>
          <w:lang w:val="es-AR" w:eastAsia="es-AR"/>
        </w:rPr>
      </w:pPr>
      <w:r>
        <w:t xml:space="preserve">El tercer supuesto </w:t>
      </w:r>
      <w:r w:rsidR="00644D5B">
        <w:t>deja abierta la enumeración a “otros casos previstos por la ley”</w:t>
      </w:r>
      <w:r w:rsidR="001213D4">
        <w:t>, criticándose la misma por la contradicción con los mismos términos de la norma cuando dice que la acción de revisión “procede exclusivamente…”</w:t>
      </w:r>
      <w:r w:rsidR="00ED5EE1">
        <w:t xml:space="preserve"> </w:t>
      </w:r>
      <w:r w:rsidR="00644D5B">
        <w:rPr>
          <w:rStyle w:val="Refdenotaalpie"/>
        </w:rPr>
        <w:footnoteReference w:id="31"/>
      </w:r>
      <w:r w:rsidR="00644D5B">
        <w:t>.</w:t>
      </w:r>
    </w:p>
    <w:p w:rsidR="006F1E8B" w:rsidRPr="006F1E8B" w:rsidRDefault="007C73C8" w:rsidP="000A0A64">
      <w:pPr>
        <w:pStyle w:val="Prrafodelista"/>
        <w:numPr>
          <w:ilvl w:val="0"/>
          <w:numId w:val="7"/>
        </w:numPr>
        <w:shd w:val="clear" w:color="auto" w:fill="FFFFFF"/>
        <w:spacing w:after="100" w:afterAutospacing="1" w:line="360" w:lineRule="auto"/>
        <w:jc w:val="both"/>
        <w:rPr>
          <w:rFonts w:ascii="Constantia" w:hAnsi="Constantia" w:cs="Arial"/>
          <w:bCs w:val="0"/>
          <w:color w:val="000000"/>
          <w:spacing w:val="0"/>
          <w:lang w:val="es-AR" w:eastAsia="es-AR"/>
        </w:rPr>
      </w:pPr>
      <w:r>
        <w:t>¿Qué ocurre si el supuesto no está previsto?</w:t>
      </w:r>
      <w:r w:rsidR="004F7F4F">
        <w:rPr>
          <w:rStyle w:val="Refdenotaalpie"/>
        </w:rPr>
        <w:footnoteReference w:id="32"/>
      </w:r>
      <w:r>
        <w:t>, procede la acción de revisión?</w:t>
      </w:r>
      <w:r w:rsidR="00450396">
        <w:rPr>
          <w:rStyle w:val="Refdenotaalpie"/>
        </w:rPr>
        <w:footnoteReference w:id="33"/>
      </w:r>
    </w:p>
    <w:p w:rsidR="006F1E8B" w:rsidRDefault="006F1E8B" w:rsidP="000A0A64">
      <w:pPr>
        <w:shd w:val="clear" w:color="auto" w:fill="FFFFFF"/>
        <w:spacing w:after="100" w:afterAutospacing="1" w:line="360" w:lineRule="auto"/>
        <w:jc w:val="both"/>
        <w:rPr>
          <w:rFonts w:ascii="Constantia" w:hAnsi="Constantia" w:cs="Arial"/>
          <w:bCs w:val="0"/>
          <w:color w:val="000000"/>
          <w:spacing w:val="0"/>
          <w:lang w:val="es-AR" w:eastAsia="es-AR"/>
        </w:rPr>
      </w:pPr>
      <w:r>
        <w:rPr>
          <w:rFonts w:ascii="Constantia" w:hAnsi="Constantia" w:cs="Arial"/>
          <w:bCs w:val="0"/>
          <w:color w:val="000000"/>
          <w:spacing w:val="0"/>
          <w:lang w:val="es-AR" w:eastAsia="es-AR"/>
        </w:rPr>
        <w:tab/>
      </w:r>
      <w:r>
        <w:rPr>
          <w:rFonts w:ascii="Constantia" w:hAnsi="Constantia" w:cs="Arial"/>
          <w:bCs w:val="0"/>
          <w:color w:val="000000"/>
          <w:spacing w:val="0"/>
          <w:lang w:val="es-AR" w:eastAsia="es-AR"/>
        </w:rPr>
        <w:tab/>
      </w:r>
    </w:p>
    <w:p w:rsidR="006F1E8B" w:rsidRDefault="006F1E8B" w:rsidP="000A0A64">
      <w:pPr>
        <w:pStyle w:val="Prrafodelista"/>
        <w:numPr>
          <w:ilvl w:val="0"/>
          <w:numId w:val="8"/>
        </w:numPr>
        <w:shd w:val="clear" w:color="auto" w:fill="FFFFFF"/>
        <w:spacing w:after="100" w:afterAutospacing="1" w:line="360" w:lineRule="auto"/>
        <w:jc w:val="both"/>
        <w:rPr>
          <w:bCs w:val="0"/>
          <w:color w:val="000000"/>
          <w:spacing w:val="0"/>
          <w:lang w:val="es-AR" w:eastAsia="es-AR"/>
        </w:rPr>
      </w:pPr>
      <w:r w:rsidRPr="006F1E8B">
        <w:rPr>
          <w:bCs w:val="0"/>
          <w:color w:val="000000"/>
          <w:spacing w:val="0"/>
          <w:lang w:val="es-AR" w:eastAsia="es-AR"/>
        </w:rPr>
        <w:t xml:space="preserve">Incorpora </w:t>
      </w:r>
      <w:r>
        <w:rPr>
          <w:bCs w:val="0"/>
          <w:color w:val="000000"/>
          <w:spacing w:val="0"/>
          <w:lang w:val="es-AR" w:eastAsia="es-AR"/>
        </w:rPr>
        <w:t xml:space="preserve">como capítulo especial de la acción autónoma al recurso de revisión que </w:t>
      </w:r>
      <w:r w:rsidR="004D3A90">
        <w:rPr>
          <w:bCs w:val="0"/>
          <w:color w:val="000000"/>
          <w:spacing w:val="0"/>
          <w:lang w:val="es-AR" w:eastAsia="es-AR"/>
        </w:rPr>
        <w:t>legislaba el art. 155 y s.s. del C.P.C., fijándose al igual que en este recurso las causales previstas por el art. 144° inc. 9 de la Constitución Provincial</w:t>
      </w:r>
      <w:r w:rsidR="004D3A90">
        <w:rPr>
          <w:rStyle w:val="Refdenotaalpie"/>
          <w:bCs w:val="0"/>
          <w:color w:val="000000"/>
          <w:spacing w:val="0"/>
          <w:lang w:val="es-AR" w:eastAsia="es-AR"/>
        </w:rPr>
        <w:footnoteReference w:id="34"/>
      </w:r>
      <w:r w:rsidR="004D3A90">
        <w:rPr>
          <w:bCs w:val="0"/>
          <w:color w:val="000000"/>
          <w:spacing w:val="0"/>
          <w:lang w:val="es-AR" w:eastAsia="es-AR"/>
        </w:rPr>
        <w:t xml:space="preserve">  </w:t>
      </w:r>
    </w:p>
    <w:p w:rsidR="00EC744F" w:rsidRDefault="00EC744F" w:rsidP="000A0A64">
      <w:pPr>
        <w:shd w:val="clear" w:color="auto" w:fill="FFFFFF"/>
        <w:spacing w:after="100" w:afterAutospacing="1" w:line="360" w:lineRule="auto"/>
        <w:jc w:val="both"/>
        <w:rPr>
          <w:bCs w:val="0"/>
          <w:color w:val="000000"/>
          <w:spacing w:val="0"/>
          <w:lang w:val="es-AR" w:eastAsia="es-AR"/>
        </w:rPr>
      </w:pPr>
    </w:p>
    <w:p w:rsidR="00E61A14" w:rsidRDefault="00EC744F" w:rsidP="000A0A64">
      <w:pPr>
        <w:shd w:val="clear" w:color="auto" w:fill="FFFFFF"/>
        <w:spacing w:after="100" w:afterAutospacing="1" w:line="360" w:lineRule="auto"/>
        <w:jc w:val="both"/>
        <w:rPr>
          <w:bCs w:val="0"/>
          <w:color w:val="000000"/>
          <w:spacing w:val="0"/>
          <w:lang w:val="es-AR" w:eastAsia="es-AR"/>
        </w:rPr>
      </w:pPr>
      <w:r>
        <w:rPr>
          <w:bCs w:val="0"/>
          <w:color w:val="000000"/>
          <w:spacing w:val="0"/>
          <w:lang w:val="es-AR" w:eastAsia="es-AR"/>
        </w:rPr>
        <w:tab/>
      </w:r>
      <w:r>
        <w:rPr>
          <w:bCs w:val="0"/>
          <w:color w:val="000000"/>
          <w:spacing w:val="0"/>
          <w:lang w:val="es-AR" w:eastAsia="es-AR"/>
        </w:rPr>
        <w:tab/>
        <w:t>¿</w:t>
      </w:r>
      <w:r w:rsidR="00E61A14">
        <w:rPr>
          <w:bCs w:val="0"/>
          <w:color w:val="000000"/>
          <w:spacing w:val="0"/>
          <w:lang w:val="es-AR" w:eastAsia="es-AR"/>
        </w:rPr>
        <w:t xml:space="preserve">Cuál es su plazo de prescripción? </w:t>
      </w:r>
    </w:p>
    <w:p w:rsidR="0065244B" w:rsidRDefault="00E61A14" w:rsidP="000A0A64">
      <w:pPr>
        <w:shd w:val="clear" w:color="auto" w:fill="FFFFFF"/>
        <w:spacing w:after="100" w:afterAutospacing="1" w:line="360" w:lineRule="auto"/>
        <w:jc w:val="both"/>
        <w:rPr>
          <w:bCs w:val="0"/>
          <w:color w:val="000000"/>
          <w:spacing w:val="0"/>
          <w:lang w:val="es-AR" w:eastAsia="es-AR"/>
        </w:rPr>
      </w:pPr>
      <w:r>
        <w:rPr>
          <w:bCs w:val="0"/>
          <w:color w:val="000000"/>
          <w:spacing w:val="0"/>
          <w:lang w:val="es-AR" w:eastAsia="es-AR"/>
        </w:rPr>
        <w:tab/>
      </w:r>
      <w:r>
        <w:rPr>
          <w:bCs w:val="0"/>
          <w:color w:val="000000"/>
          <w:spacing w:val="0"/>
          <w:lang w:val="es-AR" w:eastAsia="es-AR"/>
        </w:rPr>
        <w:tab/>
      </w:r>
      <w:r>
        <w:rPr>
          <w:bCs w:val="0"/>
          <w:color w:val="000000"/>
          <w:spacing w:val="0"/>
          <w:lang w:val="es-AR" w:eastAsia="es-AR"/>
        </w:rPr>
        <w:tab/>
        <w:t>Sin perjuicio de su mención en anteriores apartados, el art. 2564</w:t>
      </w:r>
      <w:r w:rsidR="0015045D">
        <w:rPr>
          <w:bCs w:val="0"/>
          <w:color w:val="000000"/>
          <w:spacing w:val="0"/>
          <w:lang w:val="es-AR" w:eastAsia="es-AR"/>
        </w:rPr>
        <w:t xml:space="preserve"> inc. f</w:t>
      </w:r>
      <w:r>
        <w:rPr>
          <w:bCs w:val="0"/>
          <w:color w:val="000000"/>
          <w:spacing w:val="0"/>
          <w:lang w:val="es-AR" w:eastAsia="es-AR"/>
        </w:rPr>
        <w:t xml:space="preserve"> CCCN</w:t>
      </w:r>
      <w:r w:rsidR="000A0A64">
        <w:rPr>
          <w:bCs w:val="0"/>
          <w:color w:val="000000"/>
          <w:spacing w:val="0"/>
          <w:lang w:val="es-AR" w:eastAsia="es-AR"/>
        </w:rPr>
        <w:t xml:space="preserve"> estab</w:t>
      </w:r>
      <w:r w:rsidR="0015045D" w:rsidRPr="0015045D">
        <w:rPr>
          <w:bCs w:val="0"/>
          <w:color w:val="000000"/>
          <w:spacing w:val="0"/>
          <w:lang w:val="es-AR" w:eastAsia="es-AR"/>
        </w:rPr>
        <w:t xml:space="preserve">lece un plazo prescriptivo </w:t>
      </w:r>
      <w:r w:rsidR="000A0A64">
        <w:rPr>
          <w:bCs w:val="0"/>
          <w:color w:val="000000"/>
          <w:spacing w:val="0"/>
          <w:lang w:val="es-AR" w:eastAsia="es-AR"/>
        </w:rPr>
        <w:t>respecto de esta acción autónoma de revisión (un año)</w:t>
      </w:r>
      <w:r w:rsidR="0065244B">
        <w:rPr>
          <w:bCs w:val="0"/>
          <w:color w:val="000000"/>
          <w:spacing w:val="0"/>
          <w:lang w:val="es-AR" w:eastAsia="es-AR"/>
        </w:rPr>
        <w:t>, resultando solo aplicable a la referida acción y no a cualquier otro me</w:t>
      </w:r>
      <w:r w:rsidR="0015045D" w:rsidRPr="0015045D">
        <w:rPr>
          <w:bCs w:val="0"/>
          <w:color w:val="000000"/>
          <w:spacing w:val="0"/>
          <w:lang w:val="es-AR" w:eastAsia="es-AR"/>
        </w:rPr>
        <w:t>canismo de impugnación</w:t>
      </w:r>
      <w:r w:rsidR="0065244B">
        <w:rPr>
          <w:bCs w:val="0"/>
          <w:color w:val="000000"/>
          <w:spacing w:val="0"/>
          <w:lang w:val="es-AR" w:eastAsia="es-AR"/>
        </w:rPr>
        <w:t xml:space="preserve"> de la cosa juzgada en las jurisdicciones locales que las contuviesen (revisión).</w:t>
      </w:r>
      <w:r w:rsidR="0065244B" w:rsidRPr="0015045D">
        <w:rPr>
          <w:bCs w:val="0"/>
          <w:color w:val="000000"/>
          <w:spacing w:val="0"/>
          <w:lang w:val="es-AR" w:eastAsia="es-AR"/>
        </w:rPr>
        <w:t xml:space="preserve"> </w:t>
      </w:r>
    </w:p>
    <w:p w:rsidR="00CC3DA7" w:rsidRDefault="0065244B" w:rsidP="000A0A64">
      <w:pPr>
        <w:shd w:val="clear" w:color="auto" w:fill="FFFFFF"/>
        <w:spacing w:after="100" w:afterAutospacing="1" w:line="360" w:lineRule="auto"/>
        <w:jc w:val="both"/>
        <w:rPr>
          <w:bCs w:val="0"/>
          <w:color w:val="000000"/>
          <w:spacing w:val="0"/>
          <w:lang w:val="es-AR" w:eastAsia="es-AR"/>
        </w:rPr>
      </w:pPr>
      <w:r>
        <w:rPr>
          <w:bCs w:val="0"/>
          <w:color w:val="000000"/>
          <w:spacing w:val="0"/>
          <w:lang w:val="es-AR" w:eastAsia="es-AR"/>
        </w:rPr>
        <w:tab/>
      </w:r>
      <w:r>
        <w:rPr>
          <w:bCs w:val="0"/>
          <w:color w:val="000000"/>
          <w:spacing w:val="0"/>
          <w:lang w:val="es-AR" w:eastAsia="es-AR"/>
        </w:rPr>
        <w:tab/>
      </w:r>
      <w:r>
        <w:rPr>
          <w:bCs w:val="0"/>
          <w:color w:val="000000"/>
          <w:spacing w:val="0"/>
          <w:lang w:val="es-AR" w:eastAsia="es-AR"/>
        </w:rPr>
        <w:tab/>
        <w:t xml:space="preserve">Sin embargo se advierte que </w:t>
      </w:r>
      <w:r w:rsidR="00FD651C">
        <w:rPr>
          <w:bCs w:val="0"/>
          <w:color w:val="000000"/>
          <w:spacing w:val="0"/>
          <w:lang w:val="es-AR" w:eastAsia="es-AR"/>
        </w:rPr>
        <w:t xml:space="preserve">no se </w:t>
      </w:r>
      <w:r w:rsidR="0015045D" w:rsidRPr="0015045D">
        <w:rPr>
          <w:bCs w:val="0"/>
          <w:color w:val="000000"/>
          <w:spacing w:val="0"/>
          <w:lang w:val="es-AR" w:eastAsia="es-AR"/>
        </w:rPr>
        <w:t>prevé el dies a quo del plazo prescriptivo, con lo cual podría generarse alguna discusión en relación al inicio del cómputo del año que establece</w:t>
      </w:r>
      <w:r w:rsidR="00FD651C">
        <w:rPr>
          <w:bCs w:val="0"/>
          <w:color w:val="000000"/>
          <w:spacing w:val="0"/>
          <w:lang w:val="es-AR" w:eastAsia="es-AR"/>
        </w:rPr>
        <w:t xml:space="preserve">, </w:t>
      </w:r>
      <w:r w:rsidR="00CC3DA7">
        <w:rPr>
          <w:bCs w:val="0"/>
          <w:color w:val="000000"/>
          <w:spacing w:val="0"/>
          <w:lang w:val="es-AR" w:eastAsia="es-AR"/>
        </w:rPr>
        <w:t xml:space="preserve">aunque por </w:t>
      </w:r>
      <w:r w:rsidR="0015045D" w:rsidRPr="0015045D">
        <w:rPr>
          <w:bCs w:val="0"/>
          <w:color w:val="000000"/>
          <w:spacing w:val="0"/>
          <w:lang w:val="es-AR" w:eastAsia="es-AR"/>
        </w:rPr>
        <w:t>aplicación la regla general establecida en la sección primera del cap</w:t>
      </w:r>
      <w:r w:rsidR="00CC3DA7">
        <w:rPr>
          <w:bCs w:val="0"/>
          <w:color w:val="000000"/>
          <w:spacing w:val="0"/>
          <w:lang w:val="es-AR" w:eastAsia="es-AR"/>
        </w:rPr>
        <w:t>í</w:t>
      </w:r>
      <w:r w:rsidR="0015045D" w:rsidRPr="0015045D">
        <w:rPr>
          <w:bCs w:val="0"/>
          <w:color w:val="000000"/>
          <w:spacing w:val="0"/>
          <w:lang w:val="es-AR" w:eastAsia="es-AR"/>
        </w:rPr>
        <w:t xml:space="preserve">tulo que regula la prescripción liberatoria, debe computarse desde que pudo promoverse válidamente, esto es, desde el día en que ha quedado firme el fallo penal posterior </w:t>
      </w:r>
      <w:r w:rsidR="00CC3DA7">
        <w:rPr>
          <w:bCs w:val="0"/>
          <w:color w:val="000000"/>
          <w:spacing w:val="0"/>
          <w:lang w:val="es-AR" w:eastAsia="es-AR"/>
        </w:rPr>
        <w:t xml:space="preserve">en los supuestos etablecidos en el art. 1780 CCCN </w:t>
      </w:r>
      <w:r w:rsidR="0015045D" w:rsidRPr="0015045D">
        <w:rPr>
          <w:bCs w:val="0"/>
          <w:color w:val="000000"/>
          <w:spacing w:val="0"/>
          <w:lang w:val="es-AR" w:eastAsia="es-AR"/>
        </w:rPr>
        <w:t>(</w:t>
      </w:r>
      <w:r w:rsidR="00CC3DA7">
        <w:rPr>
          <w:bCs w:val="0"/>
          <w:color w:val="000000"/>
          <w:spacing w:val="0"/>
          <w:lang w:val="es-AR" w:eastAsia="es-AR"/>
        </w:rPr>
        <w:t>conforme al</w:t>
      </w:r>
      <w:r w:rsidR="0015045D" w:rsidRPr="0015045D">
        <w:rPr>
          <w:bCs w:val="0"/>
          <w:color w:val="000000"/>
          <w:spacing w:val="0"/>
          <w:lang w:val="es-AR" w:eastAsia="es-AR"/>
        </w:rPr>
        <w:t xml:space="preserve"> art. 2554 del CCyCN)</w:t>
      </w:r>
    </w:p>
    <w:p w:rsidR="00CC3DA7" w:rsidRDefault="00CC3DA7" w:rsidP="000A0A64">
      <w:pPr>
        <w:shd w:val="clear" w:color="auto" w:fill="FFFFFF"/>
        <w:spacing w:after="100" w:afterAutospacing="1" w:line="360" w:lineRule="auto"/>
        <w:jc w:val="both"/>
        <w:rPr>
          <w:bCs w:val="0"/>
          <w:color w:val="000000"/>
          <w:spacing w:val="0"/>
          <w:lang w:val="es-AR" w:eastAsia="es-AR"/>
        </w:rPr>
      </w:pPr>
      <w:r>
        <w:rPr>
          <w:bCs w:val="0"/>
          <w:color w:val="000000"/>
          <w:spacing w:val="0"/>
          <w:lang w:val="es-AR" w:eastAsia="es-AR"/>
        </w:rPr>
        <w:tab/>
      </w:r>
      <w:r>
        <w:rPr>
          <w:bCs w:val="0"/>
          <w:color w:val="000000"/>
          <w:spacing w:val="0"/>
          <w:lang w:val="es-AR" w:eastAsia="es-AR"/>
        </w:rPr>
        <w:tab/>
      </w:r>
      <w:r>
        <w:rPr>
          <w:bCs w:val="0"/>
          <w:color w:val="000000"/>
          <w:spacing w:val="0"/>
          <w:lang w:val="es-AR" w:eastAsia="es-AR"/>
        </w:rPr>
        <w:tab/>
        <w:t>Para el resto de situaciones previstas por  la norma analizada, e</w:t>
      </w:r>
      <w:r w:rsidRPr="00CC3DA7">
        <w:rPr>
          <w:bCs w:val="0"/>
          <w:color w:val="000000"/>
          <w:spacing w:val="0"/>
          <w:lang w:val="es-AR" w:eastAsia="es-AR"/>
        </w:rPr>
        <w:t xml:space="preserve">l cómputo del plazo para promover la </w:t>
      </w:r>
      <w:r>
        <w:rPr>
          <w:bCs w:val="0"/>
          <w:color w:val="000000"/>
          <w:spacing w:val="0"/>
          <w:lang w:val="es-AR" w:eastAsia="es-AR"/>
        </w:rPr>
        <w:t xml:space="preserve">acción </w:t>
      </w:r>
      <w:r w:rsidRPr="00CC3DA7">
        <w:rPr>
          <w:bCs w:val="0"/>
          <w:color w:val="000000"/>
          <w:spacing w:val="0"/>
          <w:lang w:val="es-AR" w:eastAsia="es-AR"/>
        </w:rPr>
        <w:t xml:space="preserve">autónoma </w:t>
      </w:r>
      <w:r w:rsidR="00B72D95">
        <w:rPr>
          <w:bCs w:val="0"/>
          <w:color w:val="000000"/>
          <w:spacing w:val="0"/>
          <w:lang w:val="es-AR" w:eastAsia="es-AR"/>
        </w:rPr>
        <w:t xml:space="preserve">tendría su dies a quo desde la toma de </w:t>
      </w:r>
      <w:r w:rsidRPr="00CC3DA7">
        <w:rPr>
          <w:bCs w:val="0"/>
          <w:color w:val="000000"/>
          <w:spacing w:val="0"/>
          <w:lang w:val="es-AR" w:eastAsia="es-AR"/>
        </w:rPr>
        <w:t>conocimiento de sus hechos fundantes o  motivos de nulidad, y su término -dies ad quem- al año desde que dichas causales fueron conocidas</w:t>
      </w:r>
      <w:r w:rsidR="00B72D95">
        <w:rPr>
          <w:rStyle w:val="Refdenotaalpie"/>
          <w:bCs w:val="0"/>
          <w:color w:val="000000"/>
          <w:spacing w:val="0"/>
          <w:lang w:val="es-AR" w:eastAsia="es-AR"/>
        </w:rPr>
        <w:footnoteReference w:id="35"/>
      </w:r>
    </w:p>
    <w:p w:rsidR="00B72D95" w:rsidRDefault="00B72D95" w:rsidP="000A0A64">
      <w:pPr>
        <w:shd w:val="clear" w:color="auto" w:fill="FFFFFF"/>
        <w:spacing w:after="100" w:afterAutospacing="1" w:line="360" w:lineRule="auto"/>
        <w:jc w:val="both"/>
        <w:rPr>
          <w:bCs w:val="0"/>
          <w:color w:val="000000"/>
          <w:spacing w:val="0"/>
          <w:lang w:val="es-AR" w:eastAsia="es-AR"/>
        </w:rPr>
      </w:pPr>
    </w:p>
    <w:p w:rsidR="00EC744F" w:rsidRDefault="00B72D95" w:rsidP="000A0A64">
      <w:pPr>
        <w:shd w:val="clear" w:color="auto" w:fill="FFFFFF"/>
        <w:spacing w:after="100" w:afterAutospacing="1" w:line="360" w:lineRule="auto"/>
        <w:jc w:val="both"/>
        <w:rPr>
          <w:bCs w:val="0"/>
          <w:color w:val="000000"/>
          <w:spacing w:val="0"/>
          <w:lang w:val="es-AR" w:eastAsia="es-AR"/>
        </w:rPr>
      </w:pPr>
      <w:r>
        <w:rPr>
          <w:bCs w:val="0"/>
          <w:color w:val="000000"/>
          <w:spacing w:val="0"/>
          <w:lang w:val="es-AR" w:eastAsia="es-AR"/>
        </w:rPr>
        <w:tab/>
      </w:r>
      <w:r>
        <w:rPr>
          <w:bCs w:val="0"/>
          <w:color w:val="000000"/>
          <w:spacing w:val="0"/>
          <w:lang w:val="es-AR" w:eastAsia="es-AR"/>
        </w:rPr>
        <w:tab/>
        <w:t>¿</w:t>
      </w:r>
      <w:r w:rsidR="00EC744F">
        <w:rPr>
          <w:bCs w:val="0"/>
          <w:color w:val="000000"/>
          <w:spacing w:val="0"/>
          <w:lang w:val="es-AR" w:eastAsia="es-AR"/>
        </w:rPr>
        <w:t>Qué efectos tiene la sentencia de este proceso?.</w:t>
      </w:r>
    </w:p>
    <w:p w:rsidR="00EC744F" w:rsidRDefault="00EC744F" w:rsidP="000A0A64">
      <w:pPr>
        <w:shd w:val="clear" w:color="auto" w:fill="FFFFFF"/>
        <w:spacing w:after="100" w:afterAutospacing="1" w:line="360" w:lineRule="auto"/>
        <w:jc w:val="both"/>
        <w:rPr>
          <w:bCs w:val="0"/>
          <w:color w:val="000000"/>
          <w:spacing w:val="0"/>
          <w:lang w:val="es-AR" w:eastAsia="es-AR"/>
        </w:rPr>
      </w:pPr>
      <w:r>
        <w:rPr>
          <w:bCs w:val="0"/>
          <w:color w:val="000000"/>
          <w:spacing w:val="0"/>
          <w:lang w:val="es-AR" w:eastAsia="es-AR"/>
        </w:rPr>
        <w:tab/>
      </w:r>
      <w:r>
        <w:rPr>
          <w:bCs w:val="0"/>
          <w:color w:val="000000"/>
          <w:spacing w:val="0"/>
          <w:lang w:val="es-AR" w:eastAsia="es-AR"/>
        </w:rPr>
        <w:tab/>
        <w:t xml:space="preserve">El inciso </w:t>
      </w:r>
      <w:r w:rsidRPr="00EC744F">
        <w:rPr>
          <w:bCs w:val="0"/>
          <w:color w:val="000000"/>
          <w:spacing w:val="0"/>
          <w:lang w:val="es-AR" w:eastAsia="es-AR"/>
        </w:rPr>
        <w:t>V</w:t>
      </w:r>
      <w:r>
        <w:rPr>
          <w:bCs w:val="0"/>
          <w:color w:val="000000"/>
          <w:spacing w:val="0"/>
          <w:lang w:val="es-AR" w:eastAsia="es-AR"/>
        </w:rPr>
        <w:t xml:space="preserve"> de la norma analizada</w:t>
      </w:r>
      <w:r w:rsidRPr="00EC744F">
        <w:rPr>
          <w:bCs w:val="0"/>
          <w:color w:val="000000"/>
          <w:spacing w:val="0"/>
          <w:lang w:val="es-AR" w:eastAsia="es-AR"/>
        </w:rPr>
        <w:t>.- La Suprema Corte de Justicia deberá rever la sentencia y en su caso declararla írrita, anulando el proceso originario y, sin solución de continuidad, resolverá sobre el fondo del asunto, ajustando su decisión a lo dispuesto en Art. 90.</w:t>
      </w:r>
      <w:r w:rsidR="006647BC">
        <w:rPr>
          <w:rStyle w:val="Refdenotaalpie"/>
          <w:bCs w:val="0"/>
          <w:color w:val="000000"/>
          <w:spacing w:val="0"/>
          <w:lang w:val="es-AR" w:eastAsia="es-AR"/>
        </w:rPr>
        <w:footnoteReference w:id="36"/>
      </w:r>
    </w:p>
    <w:p w:rsidR="00ED7D48" w:rsidRDefault="00ED7D48" w:rsidP="000A0A64">
      <w:pPr>
        <w:shd w:val="clear" w:color="auto" w:fill="FFFFFF"/>
        <w:spacing w:after="100" w:afterAutospacing="1" w:line="360" w:lineRule="auto"/>
        <w:jc w:val="both"/>
        <w:rPr>
          <w:bCs w:val="0"/>
          <w:color w:val="000000"/>
          <w:spacing w:val="0"/>
          <w:lang w:val="es-AR" w:eastAsia="es-AR"/>
        </w:rPr>
      </w:pPr>
    </w:p>
    <w:p w:rsidR="00A06DA8" w:rsidRPr="00A06DA8" w:rsidRDefault="00ED7D48" w:rsidP="00A06DA8">
      <w:pPr>
        <w:pStyle w:val="Prrafodelista"/>
        <w:numPr>
          <w:ilvl w:val="0"/>
          <w:numId w:val="9"/>
        </w:numPr>
        <w:shd w:val="clear" w:color="auto" w:fill="FFFFFF"/>
        <w:spacing w:after="100" w:afterAutospacing="1" w:line="360" w:lineRule="auto"/>
        <w:jc w:val="both"/>
        <w:rPr>
          <w:bCs w:val="0"/>
          <w:color w:val="000000"/>
          <w:spacing w:val="0"/>
          <w:lang w:val="es-AR" w:eastAsia="es-AR"/>
        </w:rPr>
      </w:pPr>
      <w:r w:rsidRPr="00274EE3">
        <w:rPr>
          <w:bCs w:val="0"/>
          <w:color w:val="000000"/>
          <w:spacing w:val="0"/>
          <w:u w:val="single"/>
          <w:lang w:val="es-AR" w:eastAsia="es-AR"/>
        </w:rPr>
        <w:t>Sustanciación</w:t>
      </w:r>
      <w:r w:rsidR="00A06DA8" w:rsidRPr="00A06DA8">
        <w:rPr>
          <w:bCs w:val="0"/>
          <w:color w:val="000000"/>
          <w:spacing w:val="0"/>
          <w:lang w:val="es-AR" w:eastAsia="es-AR"/>
        </w:rPr>
        <w:t>: En cuanto a la sustanciación de la presente acción autónoma se rige por los arts. 224 y s.s. C.P.C. en el que la sustanciación será dirigida por el miembro del Tribunal  designado por el cuerp</w:t>
      </w:r>
      <w:r w:rsidR="00A06DA8">
        <w:rPr>
          <w:bCs w:val="0"/>
          <w:color w:val="000000"/>
          <w:spacing w:val="0"/>
          <w:lang w:val="es-AR" w:eastAsia="es-AR"/>
        </w:rPr>
        <w:t xml:space="preserve">o y en el que sus decisiones sólo serán susceptibles de los </w:t>
      </w:r>
      <w:r w:rsidR="00A06DA8" w:rsidRPr="00A06DA8">
        <w:rPr>
          <w:bCs w:val="0"/>
          <w:color w:val="000000"/>
          <w:spacing w:val="0"/>
          <w:lang w:val="es-AR" w:eastAsia="es-AR"/>
        </w:rPr>
        <w:t>recursos de aclaratoria y de reposición</w:t>
      </w:r>
      <w:r w:rsidR="00A06DA8">
        <w:rPr>
          <w:bCs w:val="0"/>
          <w:color w:val="000000"/>
          <w:spacing w:val="0"/>
          <w:lang w:val="es-AR" w:eastAsia="es-AR"/>
        </w:rPr>
        <w:t xml:space="preserve"> (art. 131 y 132 C.P.C</w:t>
      </w:r>
      <w:r w:rsidR="00A06DA8" w:rsidRPr="00A06DA8">
        <w:rPr>
          <w:bCs w:val="0"/>
          <w:color w:val="000000"/>
          <w:spacing w:val="0"/>
          <w:lang w:val="es-AR" w:eastAsia="es-AR"/>
        </w:rPr>
        <w:t>.</w:t>
      </w:r>
      <w:r w:rsidR="00A06DA8">
        <w:rPr>
          <w:bCs w:val="0"/>
          <w:color w:val="000000"/>
          <w:spacing w:val="0"/>
          <w:lang w:val="es-AR" w:eastAsia="es-AR"/>
        </w:rPr>
        <w:t>)</w:t>
      </w:r>
    </w:p>
    <w:p w:rsidR="00A06DA8" w:rsidRPr="00A06DA8" w:rsidRDefault="00274EE3" w:rsidP="00A06DA8">
      <w:pPr>
        <w:pStyle w:val="Prrafodelista"/>
        <w:numPr>
          <w:ilvl w:val="0"/>
          <w:numId w:val="9"/>
        </w:numPr>
        <w:shd w:val="clear" w:color="auto" w:fill="FFFFFF"/>
        <w:spacing w:after="100" w:afterAutospacing="1" w:line="360" w:lineRule="auto"/>
        <w:jc w:val="both"/>
        <w:rPr>
          <w:bCs w:val="0"/>
          <w:color w:val="000000"/>
          <w:spacing w:val="0"/>
          <w:lang w:val="es-AR" w:eastAsia="es-AR"/>
        </w:rPr>
      </w:pPr>
      <w:r>
        <w:rPr>
          <w:bCs w:val="0"/>
          <w:color w:val="000000"/>
          <w:spacing w:val="0"/>
          <w:lang w:val="es-AR" w:eastAsia="es-AR"/>
        </w:rPr>
        <w:t xml:space="preserve">Se hace extensiva los principios de oralidad fijados por el art. 2 inc. e CPC., por consiguiente tanto las </w:t>
      </w:r>
      <w:r w:rsidR="00A06DA8" w:rsidRPr="00A06DA8">
        <w:rPr>
          <w:bCs w:val="0"/>
          <w:color w:val="000000"/>
          <w:spacing w:val="0"/>
          <w:lang w:val="es-AR" w:eastAsia="es-AR"/>
        </w:rPr>
        <w:t>audiencias inicial</w:t>
      </w:r>
      <w:r>
        <w:rPr>
          <w:bCs w:val="0"/>
          <w:color w:val="000000"/>
          <w:spacing w:val="0"/>
          <w:lang w:val="es-AR" w:eastAsia="es-AR"/>
        </w:rPr>
        <w:t xml:space="preserve"> (art. 172 C.P.C.) </w:t>
      </w:r>
      <w:r w:rsidR="00A06DA8" w:rsidRPr="00A06DA8">
        <w:rPr>
          <w:bCs w:val="0"/>
          <w:color w:val="000000"/>
          <w:spacing w:val="0"/>
          <w:lang w:val="es-AR" w:eastAsia="es-AR"/>
        </w:rPr>
        <w:t xml:space="preserve"> y final</w:t>
      </w:r>
      <w:r>
        <w:rPr>
          <w:bCs w:val="0"/>
          <w:color w:val="000000"/>
          <w:spacing w:val="0"/>
          <w:lang w:val="es-AR" w:eastAsia="es-AR"/>
        </w:rPr>
        <w:t xml:space="preserve"> (art. 200 CPC) </w:t>
      </w:r>
      <w:r w:rsidR="00A06DA8" w:rsidRPr="00A06DA8">
        <w:rPr>
          <w:bCs w:val="0"/>
          <w:color w:val="000000"/>
          <w:spacing w:val="0"/>
          <w:lang w:val="es-AR" w:eastAsia="es-AR"/>
        </w:rPr>
        <w:t xml:space="preserve"> deberán realizarse con la presencia de todos los miembros de la Sala que hayan de pronunciar la sentencia</w:t>
      </w:r>
      <w:r>
        <w:rPr>
          <w:bCs w:val="0"/>
          <w:color w:val="000000"/>
          <w:spacing w:val="0"/>
          <w:lang w:val="es-AR" w:eastAsia="es-AR"/>
        </w:rPr>
        <w:t>, so pena de nulidad</w:t>
      </w:r>
    </w:p>
    <w:p w:rsidR="00ED7D48" w:rsidRDefault="00640723" w:rsidP="00A06DA8">
      <w:pPr>
        <w:pStyle w:val="Prrafodelista"/>
        <w:numPr>
          <w:ilvl w:val="0"/>
          <w:numId w:val="9"/>
        </w:numPr>
        <w:shd w:val="clear" w:color="auto" w:fill="FFFFFF"/>
        <w:spacing w:after="100" w:afterAutospacing="1" w:line="360" w:lineRule="auto"/>
        <w:jc w:val="both"/>
        <w:rPr>
          <w:bCs w:val="0"/>
          <w:color w:val="000000"/>
          <w:spacing w:val="0"/>
          <w:lang w:val="es-AR" w:eastAsia="es-AR"/>
        </w:rPr>
      </w:pPr>
      <w:r w:rsidRPr="00640723">
        <w:rPr>
          <w:bCs w:val="0"/>
          <w:color w:val="000000"/>
          <w:spacing w:val="0"/>
          <w:lang w:val="es-AR" w:eastAsia="es-AR"/>
        </w:rPr>
        <w:t xml:space="preserve">Recursos: </w:t>
      </w:r>
      <w:r w:rsidR="00A06DA8" w:rsidRPr="00640723">
        <w:rPr>
          <w:bCs w:val="0"/>
          <w:color w:val="000000"/>
          <w:spacing w:val="0"/>
          <w:lang w:val="es-AR" w:eastAsia="es-AR"/>
        </w:rPr>
        <w:t>Contra las sentencias dictadas en estos procesos, sólo procede el recurso de aclaratoria y el extraordinario federal. Es también aplicable lo dispuesto en este Código sobre uniformidad y obligatoriedad de la jurisprudencia.</w:t>
      </w:r>
      <w:r w:rsidRPr="00640723">
        <w:rPr>
          <w:bCs w:val="0"/>
          <w:color w:val="000000"/>
          <w:spacing w:val="0"/>
          <w:lang w:val="es-AR" w:eastAsia="es-AR"/>
        </w:rPr>
        <w:t xml:space="preserve"> (art. 226)</w:t>
      </w:r>
    </w:p>
    <w:p w:rsidR="00867ACF" w:rsidRPr="00867ACF" w:rsidRDefault="00867ACF" w:rsidP="00867ACF">
      <w:pPr>
        <w:shd w:val="clear" w:color="auto" w:fill="FFFFFF"/>
        <w:spacing w:after="100" w:afterAutospacing="1" w:line="360" w:lineRule="auto"/>
        <w:jc w:val="both"/>
        <w:rPr>
          <w:bCs w:val="0"/>
          <w:color w:val="000000"/>
          <w:spacing w:val="0"/>
          <w:lang w:val="es-AR" w:eastAsia="es-AR"/>
        </w:rPr>
      </w:pPr>
      <w:r>
        <w:rPr>
          <w:bCs w:val="0"/>
          <w:color w:val="000000"/>
          <w:spacing w:val="0"/>
          <w:lang w:val="es-AR" w:eastAsia="es-AR"/>
        </w:rPr>
        <w:tab/>
        <w:t>Sin perjuicio de considerar que existen voces que predican la innecesariedad de una regulación específica de la presente como acción autónoma,</w:t>
      </w:r>
      <w:r w:rsidR="00253C64">
        <w:rPr>
          <w:bCs w:val="0"/>
          <w:color w:val="000000"/>
          <w:spacing w:val="0"/>
          <w:lang w:val="es-AR" w:eastAsia="es-AR"/>
        </w:rPr>
        <w:t xml:space="preserve"> máxime cuando en el Código Procesal se encontraba reglamentado el recurso de revisión, </w:t>
      </w:r>
      <w:r>
        <w:rPr>
          <w:bCs w:val="0"/>
          <w:color w:val="000000"/>
          <w:spacing w:val="0"/>
          <w:lang w:val="es-AR" w:eastAsia="es-AR"/>
        </w:rPr>
        <w:t xml:space="preserve"> bien vale fijar que el hecho de su regulación</w:t>
      </w:r>
      <w:r w:rsidR="00253C64">
        <w:rPr>
          <w:bCs w:val="0"/>
          <w:color w:val="000000"/>
          <w:spacing w:val="0"/>
          <w:lang w:val="es-AR" w:eastAsia="es-AR"/>
        </w:rPr>
        <w:t xml:space="preserve"> no entorpece la posibilidad de fijar las ventajas que permiten contar con un marco jurídico adecuado a la referida acción autónoma, a evitar desgastes jurisdiccionales que otrora en el tiempo se suscitaron sobre su competencia, ámbito de aplicación, etc. y permite además armonizar las disposiciones contenidas </w:t>
      </w:r>
      <w:r w:rsidR="003B0644">
        <w:rPr>
          <w:bCs w:val="0"/>
          <w:color w:val="000000"/>
          <w:spacing w:val="0"/>
          <w:lang w:val="es-AR" w:eastAsia="es-AR"/>
        </w:rPr>
        <w:t xml:space="preserve">en este Código de Procedimientos con las fijadas </w:t>
      </w:r>
      <w:r w:rsidR="00253C64">
        <w:rPr>
          <w:bCs w:val="0"/>
          <w:color w:val="000000"/>
          <w:spacing w:val="0"/>
          <w:lang w:val="es-AR" w:eastAsia="es-AR"/>
        </w:rPr>
        <w:t xml:space="preserve">en el Código Civil y Comercial de la Nación </w:t>
      </w:r>
      <w:r w:rsidR="003B0644">
        <w:rPr>
          <w:bCs w:val="0"/>
          <w:color w:val="000000"/>
          <w:spacing w:val="0"/>
          <w:lang w:val="es-AR" w:eastAsia="es-AR"/>
        </w:rPr>
        <w:t xml:space="preserve">en especial aquellas de índole procesal y que resultan de aplicación inmediata en el fuero. </w:t>
      </w:r>
      <w:r w:rsidR="00253C64">
        <w:rPr>
          <w:bCs w:val="0"/>
          <w:color w:val="000000"/>
          <w:spacing w:val="0"/>
          <w:lang w:val="es-AR" w:eastAsia="es-AR"/>
        </w:rPr>
        <w:t xml:space="preserve"> </w:t>
      </w:r>
      <w:r>
        <w:rPr>
          <w:bCs w:val="0"/>
          <w:color w:val="000000"/>
          <w:spacing w:val="0"/>
          <w:lang w:val="es-AR" w:eastAsia="es-AR"/>
        </w:rPr>
        <w:t xml:space="preserve"> </w:t>
      </w:r>
    </w:p>
    <w:p w:rsidR="006F1E8B" w:rsidRDefault="006F1E8B" w:rsidP="000A0A64">
      <w:pPr>
        <w:shd w:val="clear" w:color="auto" w:fill="FFFFFF"/>
        <w:spacing w:after="100" w:afterAutospacing="1" w:line="360" w:lineRule="auto"/>
        <w:ind w:left="2816"/>
        <w:jc w:val="both"/>
        <w:rPr>
          <w:rFonts w:ascii="Constantia" w:hAnsi="Constantia" w:cs="Arial"/>
          <w:bCs w:val="0"/>
          <w:color w:val="000000"/>
          <w:spacing w:val="0"/>
          <w:lang w:val="es-AR" w:eastAsia="es-AR"/>
        </w:rPr>
      </w:pPr>
    </w:p>
    <w:p w:rsidR="006F1E8B" w:rsidRDefault="006F1E8B" w:rsidP="000A0A64">
      <w:pPr>
        <w:shd w:val="clear" w:color="auto" w:fill="FFFFFF"/>
        <w:spacing w:after="100" w:afterAutospacing="1" w:line="360" w:lineRule="auto"/>
        <w:ind w:left="2816"/>
        <w:jc w:val="both"/>
        <w:rPr>
          <w:rFonts w:ascii="Constantia" w:hAnsi="Constantia" w:cs="Arial"/>
          <w:bCs w:val="0"/>
          <w:color w:val="000000"/>
          <w:spacing w:val="0"/>
          <w:lang w:val="es-AR" w:eastAsia="es-AR"/>
        </w:rPr>
      </w:pPr>
    </w:p>
    <w:p w:rsidR="006F1E8B" w:rsidRPr="006F1E8B" w:rsidRDefault="006F1E8B" w:rsidP="000A0A64">
      <w:pPr>
        <w:shd w:val="clear" w:color="auto" w:fill="FFFFFF"/>
        <w:spacing w:after="100" w:afterAutospacing="1" w:line="360" w:lineRule="auto"/>
        <w:ind w:left="2816"/>
        <w:jc w:val="both"/>
        <w:rPr>
          <w:rFonts w:ascii="Constantia" w:hAnsi="Constantia" w:cs="Arial"/>
          <w:bCs w:val="0"/>
          <w:color w:val="000000"/>
          <w:spacing w:val="0"/>
          <w:lang w:val="es-AR" w:eastAsia="es-AR"/>
        </w:rPr>
      </w:pPr>
    </w:p>
    <w:p w:rsidR="00A40262" w:rsidRPr="00E460B9" w:rsidRDefault="00A40262" w:rsidP="000A0A64">
      <w:pPr>
        <w:shd w:val="clear" w:color="auto" w:fill="FFFFFF"/>
        <w:spacing w:after="100" w:afterAutospacing="1" w:line="360" w:lineRule="auto"/>
        <w:ind w:left="2816"/>
        <w:jc w:val="both"/>
        <w:rPr>
          <w:rFonts w:ascii="Constantia" w:hAnsi="Constantia" w:cs="Arial"/>
          <w:bCs w:val="0"/>
          <w:color w:val="000000"/>
          <w:spacing w:val="0"/>
          <w:lang w:val="es-AR" w:eastAsia="es-AR"/>
        </w:rPr>
      </w:pPr>
      <w:r w:rsidRPr="00E460B9">
        <w:rPr>
          <w:rFonts w:ascii="Constantia" w:hAnsi="Constantia" w:cs="Arial"/>
          <w:bCs w:val="0"/>
          <w:color w:val="000000"/>
          <w:spacing w:val="0"/>
          <w:lang w:val="es-AR" w:eastAsia="es-AR"/>
        </w:rPr>
        <w:t>III.- La acción debe ser fundada, estableciendo clara y concretamente cuál de los supuestos previstos en el apartado anterior contempla el caso.</w:t>
      </w:r>
    </w:p>
    <w:p w:rsidR="00A40262" w:rsidRDefault="00A40262" w:rsidP="000A0A64">
      <w:pPr>
        <w:shd w:val="clear" w:color="auto" w:fill="FFFFFF"/>
        <w:spacing w:after="100" w:afterAutospacing="1" w:line="360" w:lineRule="auto"/>
        <w:jc w:val="both"/>
        <w:rPr>
          <w:rFonts w:ascii="Constantia" w:hAnsi="Constantia" w:cs="Arial"/>
          <w:bCs w:val="0"/>
          <w:color w:val="000000"/>
          <w:spacing w:val="0"/>
          <w:lang w:val="es-AR" w:eastAsia="es-AR"/>
        </w:rPr>
      </w:pPr>
    </w:p>
    <w:p w:rsidR="00A40262" w:rsidRPr="001F2151" w:rsidRDefault="00A40262" w:rsidP="000A0A64">
      <w:pPr>
        <w:spacing w:line="360" w:lineRule="auto"/>
        <w:rPr>
          <w:lang w:val="es-AR"/>
        </w:rPr>
      </w:pPr>
    </w:p>
    <w:p w:rsidR="00A40262" w:rsidRPr="00A40262" w:rsidRDefault="00A40262" w:rsidP="000A0A64">
      <w:pPr>
        <w:spacing w:line="360" w:lineRule="auto"/>
        <w:jc w:val="both"/>
      </w:pPr>
    </w:p>
    <w:sectPr w:rsidR="00A40262" w:rsidRPr="00A40262" w:rsidSect="00F13FB5">
      <w:foot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0974" w:rsidRDefault="00EA0974" w:rsidP="00CF78AF">
      <w:pPr>
        <w:spacing w:line="240" w:lineRule="auto"/>
      </w:pPr>
      <w:r>
        <w:separator/>
      </w:r>
    </w:p>
  </w:endnote>
  <w:endnote w:type="continuationSeparator" w:id="0">
    <w:p w:rsidR="00EA0974" w:rsidRDefault="00EA0974" w:rsidP="00CF78A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nstantia">
    <w:panose1 w:val="02030602050306030303"/>
    <w:charset w:val="00"/>
    <w:family w:val="roman"/>
    <w:pitch w:val="variable"/>
    <w:sig w:usb0="A00002EF" w:usb1="4000204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69169713"/>
      <w:placeholder>
        <w:docPart w:val="977E339FAAAD4BD295E82A86E7CE594A"/>
      </w:placeholder>
      <w:temporary/>
      <w:showingPlcHdr/>
    </w:sdtPr>
    <w:sdtEndPr/>
    <w:sdtContent>
      <w:p w:rsidR="00CF78AF" w:rsidRDefault="00CF78AF">
        <w:pPr>
          <w:pStyle w:val="Piedepgina"/>
        </w:pPr>
        <w:r>
          <w:t>[Escriba texto]</w:t>
        </w:r>
      </w:p>
    </w:sdtContent>
  </w:sdt>
  <w:p w:rsidR="00CF78AF" w:rsidRDefault="00CF78AF">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0974" w:rsidRDefault="00EA0974" w:rsidP="00CF78AF">
      <w:pPr>
        <w:spacing w:line="240" w:lineRule="auto"/>
      </w:pPr>
      <w:r>
        <w:separator/>
      </w:r>
    </w:p>
  </w:footnote>
  <w:footnote w:type="continuationSeparator" w:id="0">
    <w:p w:rsidR="00EA0974" w:rsidRDefault="00EA0974" w:rsidP="00CF78AF">
      <w:pPr>
        <w:spacing w:line="240" w:lineRule="auto"/>
      </w:pPr>
      <w:r>
        <w:continuationSeparator/>
      </w:r>
    </w:p>
  </w:footnote>
  <w:footnote w:id="1">
    <w:p w:rsidR="00CF78AF" w:rsidRPr="00CF78AF" w:rsidRDefault="00CF78AF" w:rsidP="001A4C86">
      <w:pPr>
        <w:pStyle w:val="Textonotapie"/>
        <w:jc w:val="left"/>
        <w:rPr>
          <w:lang w:val="es-AR"/>
        </w:rPr>
      </w:pPr>
      <w:r>
        <w:rPr>
          <w:rStyle w:val="Refdenotaalpie"/>
        </w:rPr>
        <w:footnoteRef/>
      </w:r>
      <w:r>
        <w:t xml:space="preserve"> CALAMANDREI, Piero “Elogio de los jueces”, Ejea, Buenos Aires, 1956, pág. 10,</w:t>
      </w:r>
    </w:p>
  </w:footnote>
  <w:footnote w:id="2">
    <w:p w:rsidR="001A4C86" w:rsidRPr="001A4C86" w:rsidRDefault="001A4C86" w:rsidP="001A4C86">
      <w:pPr>
        <w:pStyle w:val="Textonotapie"/>
        <w:jc w:val="both"/>
        <w:rPr>
          <w:lang w:val="es-AR"/>
        </w:rPr>
      </w:pPr>
      <w:r>
        <w:rPr>
          <w:rStyle w:val="Refdenotaalpie"/>
        </w:rPr>
        <w:footnoteRef/>
      </w:r>
      <w:r>
        <w:t xml:space="preserve"> </w:t>
      </w:r>
      <w:r>
        <w:rPr>
          <w:rFonts w:ascii="Arial" w:eastAsiaTheme="minorHAnsi" w:hAnsi="Arial" w:cs="Arial"/>
          <w:bCs w:val="0"/>
          <w:spacing w:val="0"/>
          <w:sz w:val="18"/>
          <w:szCs w:val="18"/>
          <w:lang w:val="es-AR" w:eastAsia="en-US"/>
        </w:rPr>
        <w:t>OSSORIO, Manuel, "Diccionario de Ciencia Jurídicas, Políticas y Sociales", Heliasta, 2005, Pág. 240.</w:t>
      </w:r>
    </w:p>
  </w:footnote>
  <w:footnote w:id="3">
    <w:p w:rsidR="001A4C86" w:rsidRPr="001A4C86" w:rsidRDefault="001A4C86" w:rsidP="001A4C86">
      <w:pPr>
        <w:pStyle w:val="Textonotapie"/>
        <w:jc w:val="left"/>
        <w:rPr>
          <w:lang w:val="es-AR"/>
        </w:rPr>
      </w:pPr>
      <w:r>
        <w:rPr>
          <w:rStyle w:val="Refdenotaalpie"/>
        </w:rPr>
        <w:footnoteRef/>
      </w:r>
      <w:r>
        <w:t xml:space="preserve"> PALACIO, Lino, "Manual de Derecho procesal Civil", Abeledo-Perrot, Año 1998, Pág. 536.)</w:t>
      </w:r>
    </w:p>
  </w:footnote>
  <w:footnote w:id="4">
    <w:p w:rsidR="00BB306C" w:rsidRPr="00BB306C" w:rsidRDefault="00BB306C" w:rsidP="00BB306C">
      <w:pPr>
        <w:pStyle w:val="Textonotapie"/>
        <w:jc w:val="left"/>
        <w:rPr>
          <w:lang w:val="es-AR"/>
        </w:rPr>
      </w:pPr>
      <w:r>
        <w:rPr>
          <w:rStyle w:val="Refdenotaalpie"/>
        </w:rPr>
        <w:footnoteRef/>
      </w:r>
      <w:r>
        <w:t xml:space="preserve"> CARNELUTTI, Francisco, Sistema de Derecho Procesal Civil, T. I, Uthea, Buenos Aires, págs. 350-354</w:t>
      </w:r>
    </w:p>
  </w:footnote>
  <w:footnote w:id="5">
    <w:p w:rsidR="00BA185A" w:rsidRPr="00BA185A" w:rsidRDefault="00BA185A" w:rsidP="00BA185A">
      <w:pPr>
        <w:pStyle w:val="Textonotapie"/>
        <w:jc w:val="left"/>
      </w:pPr>
      <w:r>
        <w:rPr>
          <w:rStyle w:val="Refdenotaalpie"/>
        </w:rPr>
        <w:footnoteRef/>
      </w:r>
      <w:r>
        <w:t xml:space="preserve"> </w:t>
      </w:r>
      <w:r w:rsidRPr="00BA185A">
        <w:t>Corte IDH, “Genie Lacayo vs. Nicaragua”, s. 13 de septiembre de 199</w:t>
      </w:r>
    </w:p>
  </w:footnote>
  <w:footnote w:id="6">
    <w:p w:rsidR="00A10971" w:rsidRPr="00A10971" w:rsidRDefault="00A10971" w:rsidP="00A10971">
      <w:pPr>
        <w:pStyle w:val="Textonotapie"/>
        <w:jc w:val="left"/>
        <w:rPr>
          <w:lang w:val="es-AR"/>
        </w:rPr>
      </w:pPr>
      <w:r>
        <w:rPr>
          <w:rStyle w:val="Refdenotaalpie"/>
        </w:rPr>
        <w:footnoteRef/>
      </w:r>
      <w:r>
        <w:t xml:space="preserve"> </w:t>
      </w:r>
      <w:r w:rsidRPr="00A10971">
        <w:t xml:space="preserve">Hitters, Juan, "Revisión de la cosa juzgada", Ed. </w:t>
      </w:r>
      <w:r w:rsidRPr="00A10971">
        <w:rPr>
          <w:lang w:val="en-US"/>
        </w:rPr>
        <w:t xml:space="preserve">Lep, 1.977, p. 253. Vid. cfr. tb. </w:t>
      </w:r>
      <w:r w:rsidRPr="00A10971">
        <w:t>Peyrano, Jorge, "La acción revocatoria de la cosa juzgada</w:t>
      </w:r>
      <w:r w:rsidR="00C15D1B">
        <w:t xml:space="preserve"> fraudulenta" en Zeus, 14, D-11</w:t>
      </w:r>
    </w:p>
  </w:footnote>
  <w:footnote w:id="7">
    <w:p w:rsidR="005E34D2" w:rsidRPr="005E34D2" w:rsidRDefault="005E34D2" w:rsidP="005E34D2">
      <w:pPr>
        <w:pStyle w:val="Textonotapie"/>
        <w:jc w:val="left"/>
        <w:rPr>
          <w:lang w:val="es-AR"/>
        </w:rPr>
      </w:pPr>
      <w:r>
        <w:rPr>
          <w:rStyle w:val="Refdenotaalpie"/>
        </w:rPr>
        <w:footnoteRef/>
      </w:r>
      <w:r>
        <w:t xml:space="preserve"> </w:t>
      </w:r>
      <w:r w:rsidRPr="005E34D2">
        <w:t>:</w:t>
      </w:r>
      <w:r>
        <w:t xml:space="preserve">S.C.J. Sala  1, : </w:t>
      </w:r>
      <w:r w:rsidRPr="005E34D2">
        <w:t xml:space="preserve"> “Sanes S.A. En J° 86.470 Sanes S.A. En Juicio Nº81695 Sanes S.A. C/Maggini Luis Y Ots P/Cumpl.</w:t>
      </w:r>
      <w:r>
        <w:t xml:space="preserve"> de</w:t>
      </w:r>
      <w:r w:rsidRPr="005E34D2">
        <w:t xml:space="preserve"> </w:t>
      </w:r>
      <w:r>
        <w:t>c</w:t>
      </w:r>
      <w:r w:rsidRPr="005E34D2">
        <w:t>ont.</w:t>
      </w:r>
      <w:r>
        <w:t>p</w:t>
      </w:r>
      <w:r w:rsidRPr="005E34D2">
        <w:t>/ Recurso Ext.</w:t>
      </w:r>
      <w:r>
        <w:t xml:space="preserve"> d</w:t>
      </w:r>
      <w:r w:rsidRPr="005E34D2">
        <w:t>e Inconstitucionalidad”.</w:t>
      </w:r>
      <w:r>
        <w:t xml:space="preserve"> 30/11/2015</w:t>
      </w:r>
    </w:p>
  </w:footnote>
  <w:footnote w:id="8">
    <w:p w:rsidR="00E421DA" w:rsidRPr="00E421DA" w:rsidRDefault="00E421DA" w:rsidP="00E421DA">
      <w:pPr>
        <w:pStyle w:val="Textonotapie"/>
        <w:jc w:val="left"/>
        <w:rPr>
          <w:lang w:val="es-AR"/>
        </w:rPr>
      </w:pPr>
      <w:r>
        <w:rPr>
          <w:rStyle w:val="Refdenotaalpie"/>
        </w:rPr>
        <w:footnoteRef/>
      </w:r>
      <w:r>
        <w:t xml:space="preserve"> </w:t>
      </w:r>
      <w:r w:rsidRPr="00E421DA">
        <w:t>Gil Domínguez, A.; La acción de nulidad por cosa juzgada írrita. Aspectos formales y sustanciales. LL 2006–B–808.</w:t>
      </w:r>
    </w:p>
  </w:footnote>
  <w:footnote w:id="9">
    <w:p w:rsidR="00A02E1C" w:rsidRPr="00A02E1C" w:rsidRDefault="00A02E1C" w:rsidP="00A02E1C">
      <w:pPr>
        <w:pStyle w:val="Textonotapie"/>
        <w:jc w:val="left"/>
        <w:rPr>
          <w:lang w:val="es-AR"/>
        </w:rPr>
      </w:pPr>
      <w:r>
        <w:rPr>
          <w:rStyle w:val="Refdenotaalpie"/>
        </w:rPr>
        <w:footnoteRef/>
      </w:r>
      <w:r>
        <w:t xml:space="preserve"> </w:t>
      </w:r>
      <w:r w:rsidRPr="00A02E1C">
        <w:t xml:space="preserve">Para estos antecedentes ver, </w:t>
      </w:r>
      <w:r>
        <w:t xml:space="preserve"> SCJM SALA I </w:t>
      </w:r>
      <w:r w:rsidRPr="00A02E1C">
        <w:t>l  22/11/2006, LA 202-81).</w:t>
      </w:r>
    </w:p>
  </w:footnote>
  <w:footnote w:id="10">
    <w:p w:rsidR="004B2543" w:rsidRPr="004B2543" w:rsidRDefault="004B2543" w:rsidP="004B2543">
      <w:pPr>
        <w:pStyle w:val="Textonotapie"/>
        <w:jc w:val="left"/>
        <w:rPr>
          <w:lang w:val="es-AR"/>
        </w:rPr>
      </w:pPr>
      <w:r>
        <w:rPr>
          <w:rStyle w:val="Refdenotaalpie"/>
        </w:rPr>
        <w:footnoteRef/>
      </w:r>
      <w:r>
        <w:t xml:space="preserve"> </w:t>
      </w:r>
      <w:r w:rsidRPr="004B2543">
        <w:t xml:space="preserve"> Hitters</w:t>
      </w:r>
      <w:r>
        <w:t xml:space="preserve"> señala que </w:t>
      </w:r>
      <w:r w:rsidRPr="004B2543">
        <w:t xml:space="preserve"> tratándose de un caso de silencio de la ley debe descartarse la posibilidad de utilizar el recurso de revisión que algunas provincias han previsto, ya que este campo impugnatorio no es dable ejercerlo por analogía, quedando en cambio expedito el carril de la acción autónoma</w:t>
      </w:r>
      <w:r>
        <w:t>,</w:t>
      </w:r>
      <w:r w:rsidRPr="004B2543">
        <w:t xml:space="preserve"> </w:t>
      </w:r>
      <w:r>
        <w:t>(</w:t>
      </w:r>
      <w:r w:rsidRPr="004B2543">
        <w:t>Hitters, JC. La revisión de la cosa juzgada, 2 ed. LEP, La Plata, 2001, pág. 2</w:t>
      </w:r>
      <w:r>
        <w:t>78/9)</w:t>
      </w:r>
      <w:r w:rsidRPr="004B2543">
        <w:t>.</w:t>
      </w:r>
    </w:p>
  </w:footnote>
  <w:footnote w:id="11">
    <w:p w:rsidR="006A2BCC" w:rsidRPr="006A2BCC" w:rsidRDefault="006A2BCC" w:rsidP="00C15D1B">
      <w:pPr>
        <w:pStyle w:val="Textonotapie"/>
        <w:jc w:val="left"/>
        <w:rPr>
          <w:lang w:val="es-AR"/>
        </w:rPr>
      </w:pPr>
      <w:r>
        <w:rPr>
          <w:rStyle w:val="Refdenotaalpie"/>
        </w:rPr>
        <w:footnoteRef/>
      </w:r>
      <w:r>
        <w:t xml:space="preserve"> </w:t>
      </w:r>
      <w:r>
        <w:rPr>
          <w:lang w:val="es-AR"/>
        </w:rPr>
        <w:t>Ley 9001</w:t>
      </w:r>
    </w:p>
  </w:footnote>
  <w:footnote w:id="12">
    <w:p w:rsidR="002305DA" w:rsidRPr="002305DA" w:rsidRDefault="002305DA" w:rsidP="002305DA">
      <w:pPr>
        <w:pStyle w:val="Textonotapie"/>
        <w:jc w:val="left"/>
        <w:rPr>
          <w:lang w:val="es-AR"/>
        </w:rPr>
      </w:pPr>
      <w:r>
        <w:rPr>
          <w:rStyle w:val="Refdenotaalpie"/>
        </w:rPr>
        <w:footnoteRef/>
      </w:r>
      <w:r>
        <w:t xml:space="preserve"> Atento a la </w:t>
      </w:r>
      <w:r w:rsidRPr="002305DA">
        <w:t xml:space="preserve"> complejidad del tema  requiere de un proceso de conocimiento pleno, donde pueda debatirse ampliamente la cuestión litigiosa (Morello, A., Pretensión autónoma de la sentencia declarativa revocatoria de la cosa juzgada írrita, publicado en ED v. 36, p. 291) .-</w:t>
      </w:r>
    </w:p>
  </w:footnote>
  <w:footnote w:id="13">
    <w:p w:rsidR="00C15D1B" w:rsidRDefault="00C15D1B" w:rsidP="00C15D1B">
      <w:pPr>
        <w:pStyle w:val="Textonotapie"/>
        <w:jc w:val="left"/>
      </w:pPr>
      <w:r>
        <w:rPr>
          <w:rStyle w:val="Refdenotaalpie"/>
        </w:rPr>
        <w:footnoteRef/>
      </w:r>
      <w:r>
        <w:t xml:space="preserve"> Randich Montaldi, Gustavo E.  , Pretensión autónoma de revisión de la cosa juzgada en el Código Civil y Comercial de la Nación: necesidad de su regulación en la Ley de Procedimientos Civiles de Mendoza</w:t>
      </w:r>
    </w:p>
    <w:p w:rsidR="00C15D1B" w:rsidRPr="00C15D1B" w:rsidRDefault="00C15D1B" w:rsidP="00C15D1B">
      <w:pPr>
        <w:pStyle w:val="Textonotapie"/>
        <w:jc w:val="left"/>
        <w:rPr>
          <w:lang w:val="es-AR"/>
        </w:rPr>
      </w:pPr>
      <w:r>
        <w:t xml:space="preserve">Publicado en: LLGran Cuyo 2016 (febrero) , 1   </w:t>
      </w:r>
    </w:p>
  </w:footnote>
  <w:footnote w:id="14">
    <w:p w:rsidR="008C066A" w:rsidRPr="008C066A" w:rsidRDefault="008C066A" w:rsidP="008C066A">
      <w:pPr>
        <w:pStyle w:val="Textonotapie"/>
        <w:jc w:val="left"/>
        <w:rPr>
          <w:lang w:val="es-AR"/>
        </w:rPr>
      </w:pPr>
      <w:r>
        <w:rPr>
          <w:rStyle w:val="Refdenotaalpie"/>
        </w:rPr>
        <w:footnoteRef/>
      </w:r>
      <w:r>
        <w:t xml:space="preserve"> </w:t>
      </w:r>
      <w:r w:rsidRPr="008C066A">
        <w:t>Explica Giannini que las respuestas que se han ensayado no han sido coincidentes. Por el contrario, han conformado un abanico de opciones: para algunos debe ser el mismo tribunal que conoció en el juicio originario (salvo obviamente dolo del juez); para otros debe conocer el superior tribunal de cada provincia; y para unos terceros debe entender el juez de primera instancia que corresponda según el turno y las reglas generales de la competencia (v. Giannini, L.; “La revisión de la cosa juzgada</w:t>
      </w:r>
      <w:r w:rsidR="00015906">
        <w:t xml:space="preserve">, </w:t>
      </w:r>
      <w:r w:rsidR="00015906" w:rsidRPr="00015906">
        <w:t>Cuestiones actuales; publicado en LA LEY2001-E, 1259. Cita Online: AR/DOC/4699/2001).</w:t>
      </w:r>
      <w:r w:rsidRPr="008C066A">
        <w:t>.</w:t>
      </w:r>
    </w:p>
  </w:footnote>
  <w:footnote w:id="15">
    <w:p w:rsidR="00707FD9" w:rsidRPr="00707FD9" w:rsidRDefault="00707FD9" w:rsidP="00707FD9">
      <w:pPr>
        <w:pStyle w:val="Textonotapie"/>
        <w:jc w:val="left"/>
      </w:pPr>
      <w:r>
        <w:rPr>
          <w:rStyle w:val="Refdenotaalpie"/>
        </w:rPr>
        <w:footnoteRef/>
      </w:r>
      <w:r>
        <w:t xml:space="preserve"> SUPREMA CORTE DE JUSTICIA EN PLENO: nº 92263 – “SALVATIERRA PAMELA L. C/MARTINELLI ROLANDO JESÚS S/ACCIÓN AUTÓNOMA DE NULIDAD” ,  14/10/2008 -  LS393-133</w:t>
      </w:r>
    </w:p>
  </w:footnote>
  <w:footnote w:id="16">
    <w:p w:rsidR="007F59CD" w:rsidRPr="007F59CD" w:rsidRDefault="007F59CD" w:rsidP="007F59CD">
      <w:pPr>
        <w:pStyle w:val="Textonotapie"/>
        <w:jc w:val="left"/>
        <w:rPr>
          <w:lang w:val="es-AR"/>
        </w:rPr>
      </w:pPr>
      <w:r>
        <w:rPr>
          <w:rStyle w:val="Refdenotaalpie"/>
        </w:rPr>
        <w:footnoteRef/>
      </w:r>
      <w:r>
        <w:t xml:space="preserve"> </w:t>
      </w:r>
      <w:r w:rsidRPr="007F59CD">
        <w:t>En el mismo sentido v. Giannini, L.; “La revisión de la cosa juzgada…” cit.</w:t>
      </w:r>
      <w:r>
        <w:t xml:space="preserve">. , </w:t>
      </w:r>
      <w:r w:rsidRPr="007F59CD">
        <w:t xml:space="preserve">Morello, A., </w:t>
      </w:r>
      <w:r>
        <w:t>“</w:t>
      </w:r>
      <w:r w:rsidRPr="007F59CD">
        <w:t>Pretensión autónoma de la sentencia declarativa</w:t>
      </w:r>
      <w:r>
        <w:t>….”, cit.</w:t>
      </w:r>
    </w:p>
  </w:footnote>
  <w:footnote w:id="17">
    <w:p w:rsidR="007F59CD" w:rsidRPr="007F59CD" w:rsidRDefault="007F59CD" w:rsidP="007F59CD">
      <w:pPr>
        <w:pStyle w:val="Textonotapie"/>
        <w:jc w:val="left"/>
        <w:rPr>
          <w:lang w:val="es-AR"/>
        </w:rPr>
      </w:pPr>
      <w:r>
        <w:rPr>
          <w:rStyle w:val="Refdenotaalpie"/>
        </w:rPr>
        <w:footnoteRef/>
      </w:r>
      <w:r>
        <w:t xml:space="preserve"> “Corresponde a la Suprema Corte de Justicia conocer originaria y exclusivamente en casos en que se pretende la revisión de una resolución que ha adquirido fuerza de cosa juzgada.” (4ª C.C. - Expte.: 25375 - Magri Rabaglio, Julio José y ots. c/ Moreno Velazco, Melitón p/Acción de Nulidad - 09/08/2000 -  LA154-153</w:t>
      </w:r>
    </w:p>
  </w:footnote>
  <w:footnote w:id="18">
    <w:p w:rsidR="00F228B3" w:rsidRPr="00F228B3" w:rsidRDefault="00F228B3" w:rsidP="00F228B3">
      <w:pPr>
        <w:pStyle w:val="Textonotapie"/>
        <w:jc w:val="left"/>
        <w:rPr>
          <w:lang w:val="es-AR"/>
        </w:rPr>
      </w:pPr>
      <w:r>
        <w:rPr>
          <w:rStyle w:val="Refdenotaalpie"/>
        </w:rPr>
        <w:footnoteRef/>
      </w:r>
      <w:r>
        <w:t xml:space="preserve"> </w:t>
      </w:r>
      <w:r>
        <w:rPr>
          <w:lang w:val="es-AR"/>
        </w:rPr>
        <w:t>Morello, ob. Cit.</w:t>
      </w:r>
    </w:p>
  </w:footnote>
  <w:footnote w:id="19">
    <w:p w:rsidR="008F7311" w:rsidRPr="008F7311" w:rsidRDefault="008F7311" w:rsidP="008F7311">
      <w:pPr>
        <w:pStyle w:val="Textonotapie"/>
        <w:jc w:val="left"/>
        <w:rPr>
          <w:lang w:val="es-AR"/>
        </w:rPr>
      </w:pPr>
      <w:r>
        <w:rPr>
          <w:rStyle w:val="Refdenotaalpie"/>
        </w:rPr>
        <w:footnoteRef/>
      </w:r>
      <w:r>
        <w:t xml:space="preserve"> </w:t>
      </w:r>
      <w:r>
        <w:rPr>
          <w:lang w:val="es-AR"/>
        </w:rPr>
        <w:t xml:space="preserve"> El trámite es el previsto por el Libro Segundo Título I del C.P.C. provincial  </w:t>
      </w:r>
      <w:r w:rsidR="003D3956">
        <w:rPr>
          <w:lang w:val="es-AR"/>
        </w:rPr>
        <w:t>en consonancia con las reglas previstas en los arts. 224 a 226 C.P.C</w:t>
      </w:r>
    </w:p>
  </w:footnote>
  <w:footnote w:id="20">
    <w:p w:rsidR="00D35268" w:rsidRPr="00D35268" w:rsidRDefault="00D35268" w:rsidP="00D35268">
      <w:pPr>
        <w:pStyle w:val="Textonotapie"/>
        <w:jc w:val="left"/>
        <w:rPr>
          <w:lang w:val="es-AR"/>
        </w:rPr>
      </w:pPr>
      <w:r>
        <w:rPr>
          <w:rStyle w:val="Refdenotaalpie"/>
        </w:rPr>
        <w:footnoteRef/>
      </w:r>
      <w:r>
        <w:t xml:space="preserve"> La posibilidad de revisar la cosa juzgada en los supuestos de error, dolo, violencia, simulación, fraude, radica en la amplitud de la consideración de los vicios de los actos procesales en orden a una expresión de una voluntad sin vicios; de una conducta veraz y de buena fe (conforme a las Normas del Código Civil y – hoy del CCCN), ocupándose de la indefensión el art. 18 de la Constitución Nacional, y del resguardo del orden público, la moral y las buenas costumbres los arts. 21 y 953, del Código citado, pilares en la limitación de la autonomía de la voluntad (VALLEJO, E. L., “Medios de impugnación de la cosa juzgada”, J.A., 1972, Doct., pág.522 y ss.)</w:t>
      </w:r>
    </w:p>
  </w:footnote>
  <w:footnote w:id="21">
    <w:p w:rsidR="00362016" w:rsidRPr="00362016" w:rsidRDefault="00362016" w:rsidP="00362016">
      <w:pPr>
        <w:pStyle w:val="Textonotapie"/>
        <w:jc w:val="left"/>
        <w:rPr>
          <w:lang w:val="es-AR"/>
        </w:rPr>
      </w:pPr>
      <w:r>
        <w:rPr>
          <w:rStyle w:val="Refdenotaalpie"/>
        </w:rPr>
        <w:footnoteRef/>
      </w:r>
      <w:r>
        <w:t xml:space="preserve">  Desarrollado por Kemelmajer de Carlucci en fallo de la Suprema Corte de Mendoza Sala I en autos “Puebla, Ricardo A. en J. 72.528 Banco de Previsión Social S.A. s/ acción de nulidad y su acumulada “Escobar, Luis G. en J. 72528/13225 Banco de Previsión Social s/ acción de nulidad” (</w:t>
      </w:r>
      <w:r w:rsidRPr="00362016">
        <w:t>ED, 16-911-99, pág. 7-9; LL, 1999-F-529.</w:t>
      </w:r>
      <w:r>
        <w:t xml:space="preserve">). En </w:t>
      </w:r>
      <w:r w:rsidR="00B826D2">
        <w:t xml:space="preserve">este la ministro fijó que: </w:t>
      </w:r>
      <w:r>
        <w:t>“…la acción de nulidad por “cosa juzgada</w:t>
      </w:r>
      <w:r w:rsidR="00B826D2">
        <w:t xml:space="preserve"> </w:t>
      </w:r>
      <w:r>
        <w:t>irrita” no es sólo procedente cuando la conducta es dolosa o fraudulenta, sino</w:t>
      </w:r>
      <w:r w:rsidR="00B826D2">
        <w:t xml:space="preserve"> </w:t>
      </w:r>
      <w:r w:rsidR="00B826D2" w:rsidRPr="00B826D2">
        <w:t>también cuanto el vicio consiste en un “error...”,</w:t>
      </w:r>
    </w:p>
  </w:footnote>
  <w:footnote w:id="22">
    <w:p w:rsidR="00362016" w:rsidRDefault="00362016" w:rsidP="00362016">
      <w:pPr>
        <w:pStyle w:val="Textonotapie"/>
        <w:jc w:val="left"/>
      </w:pPr>
      <w:r>
        <w:rPr>
          <w:rStyle w:val="Refdenotaalpie"/>
        </w:rPr>
        <w:footnoteRef/>
      </w:r>
      <w:r>
        <w:t xml:space="preserve"> la acción autónoma de nulidad procede en aquellos supuestos en que exista</w:t>
      </w:r>
    </w:p>
    <w:p w:rsidR="00362016" w:rsidRDefault="00362016" w:rsidP="00362016">
      <w:pPr>
        <w:pStyle w:val="Textonotapie"/>
        <w:jc w:val="left"/>
      </w:pPr>
      <w:r>
        <w:t>“una grave deficiencia en el material de percepción del órgano judicial que determina</w:t>
      </w:r>
    </w:p>
    <w:p w:rsidR="00362016" w:rsidRDefault="00362016" w:rsidP="00362016">
      <w:pPr>
        <w:pStyle w:val="Textonotapie"/>
        <w:jc w:val="left"/>
      </w:pPr>
      <w:r>
        <w:t>un error en el conocimiento de los hechos que fundamentan la decisión</w:t>
      </w:r>
    </w:p>
    <w:p w:rsidR="00362016" w:rsidRPr="00362016" w:rsidRDefault="00362016" w:rsidP="00362016">
      <w:pPr>
        <w:pStyle w:val="Textonotapie"/>
        <w:jc w:val="left"/>
        <w:rPr>
          <w:lang w:val="es-AR"/>
        </w:rPr>
      </w:pPr>
      <w:r>
        <w:t>de la sentencia”</w:t>
      </w:r>
      <w:r w:rsidR="00B826D2">
        <w:t xml:space="preserve"> (</w:t>
      </w:r>
      <w:r>
        <w:t xml:space="preserve"> </w:t>
      </w:r>
      <w:r w:rsidRPr="00362016">
        <w:t>S.C. Mendoza, Sala I, 02/09/1999, LL, 1999-F-529/538</w:t>
      </w:r>
      <w:r w:rsidR="00B826D2">
        <w:t>)</w:t>
      </w:r>
      <w:r w:rsidRPr="00362016">
        <w:t>,</w:t>
      </w:r>
    </w:p>
  </w:footnote>
  <w:footnote w:id="23">
    <w:p w:rsidR="00362016" w:rsidRDefault="00362016" w:rsidP="00362016">
      <w:pPr>
        <w:pStyle w:val="Textonotapie"/>
        <w:jc w:val="left"/>
      </w:pPr>
      <w:r>
        <w:rPr>
          <w:rStyle w:val="Refdenotaalpie"/>
        </w:rPr>
        <w:footnoteRef/>
      </w:r>
      <w:r>
        <w:t xml:space="preserve">  “ el dictado de la sentencia cuya eficacia se pretende cancelar debe haber obedecido a la interferencia de un entuerto, entendido esto último por cualquier circunstancia (objetiva o subjetiva,</w:t>
      </w:r>
    </w:p>
    <w:p w:rsidR="00362016" w:rsidRDefault="00362016" w:rsidP="00362016">
      <w:pPr>
        <w:pStyle w:val="Textonotapie"/>
        <w:jc w:val="left"/>
      </w:pPr>
      <w:r>
        <w:t>dolosa o fortuita) que ha incidido para que aquélla no reflejara la verdadera</w:t>
      </w:r>
    </w:p>
    <w:p w:rsidR="00362016" w:rsidRPr="00362016" w:rsidRDefault="00362016" w:rsidP="00362016">
      <w:pPr>
        <w:pStyle w:val="Textonotapie"/>
        <w:jc w:val="left"/>
        <w:rPr>
          <w:lang w:val="es-AR"/>
        </w:rPr>
      </w:pPr>
      <w:r>
        <w:t>voluntad del ordenamiento” (PEYRANO, Jorge “Acción de Nulidad de sentencia firme” en El proceso Atípico, Nº 10, Universidad, Buenos Aires, 1993, pág. 180).</w:t>
      </w:r>
    </w:p>
  </w:footnote>
  <w:footnote w:id="24">
    <w:p w:rsidR="001F1A38" w:rsidRDefault="001F1A38" w:rsidP="001F1A38">
      <w:pPr>
        <w:pStyle w:val="Textonotapie"/>
        <w:jc w:val="left"/>
      </w:pPr>
      <w:r>
        <w:rPr>
          <w:rStyle w:val="Refdenotaalpie"/>
        </w:rPr>
        <w:footnoteRef/>
      </w:r>
      <w:r>
        <w:t xml:space="preserve"> ARTICULO 1780.- Sentencia penal posterior. La sentencia penal posterior a la sentencia civil no produce ningún efecto sobre ella, excepto en el caso de revisión. La revisión procede exclusivamente, y a petición de parte interesada, en los siguientes supuestos:</w:t>
      </w:r>
    </w:p>
    <w:p w:rsidR="001F1A38" w:rsidRDefault="001F1A38" w:rsidP="001F1A38">
      <w:pPr>
        <w:pStyle w:val="Textonotapie"/>
        <w:jc w:val="left"/>
      </w:pPr>
      <w:r>
        <w:t>a) si la sentencia civil asigna alcances de cosa juzgada a cuestiones resueltas por la sentencia penal y ésta es revisada respecto de esas cuestiones, excepto que derive de un cambio en la legislación;</w:t>
      </w:r>
    </w:p>
    <w:p w:rsidR="001F1A38" w:rsidRDefault="001F1A38" w:rsidP="001F1A38">
      <w:pPr>
        <w:pStyle w:val="Textonotapie"/>
        <w:jc w:val="left"/>
      </w:pPr>
      <w:r>
        <w:t>b) en el caso previsto en el artículo 1775 inciso c) si quien fue juzgado responsable en la acción civil es absuelto en el juicio criminal por inexistencia del hecho que funda la condena civil, o por no ser su autor;</w:t>
      </w:r>
    </w:p>
    <w:p w:rsidR="001F1A38" w:rsidRPr="001F1A38" w:rsidRDefault="001F1A38" w:rsidP="001F1A38">
      <w:pPr>
        <w:pStyle w:val="Textonotapie"/>
        <w:jc w:val="left"/>
        <w:rPr>
          <w:lang w:val="es-AR"/>
        </w:rPr>
      </w:pPr>
      <w:r>
        <w:t>c) otros casos previstos por la ley. (ley 26.994)</w:t>
      </w:r>
    </w:p>
  </w:footnote>
  <w:footnote w:id="25">
    <w:p w:rsidR="00573B78" w:rsidRPr="00573B78" w:rsidRDefault="00573B78" w:rsidP="00573B78">
      <w:pPr>
        <w:pStyle w:val="Textonotapie"/>
        <w:jc w:val="left"/>
        <w:rPr>
          <w:lang w:val="es-AR"/>
        </w:rPr>
      </w:pPr>
      <w:r>
        <w:rPr>
          <w:rStyle w:val="Refdenotaalpie"/>
        </w:rPr>
        <w:footnoteRef/>
      </w:r>
      <w:r>
        <w:t xml:space="preserve"> </w:t>
      </w:r>
      <w:r w:rsidRPr="00573B78">
        <w:t xml:space="preserve">La solución es la misma que la del </w:t>
      </w:r>
      <w:r w:rsidR="00E808F9">
        <w:t>art.</w:t>
      </w:r>
      <w:r w:rsidRPr="00573B78">
        <w:t>1106 del CC. Aquella norma disponía que cualquiera fuera la decisión penal posterior, el fallo civil pasado en autoridad de cosa juzgada, conservaría todos sus efectos</w:t>
      </w:r>
    </w:p>
  </w:footnote>
  <w:footnote w:id="26">
    <w:p w:rsidR="00E808F9" w:rsidRPr="00E808F9" w:rsidRDefault="00E808F9" w:rsidP="00E808F9">
      <w:pPr>
        <w:pStyle w:val="Textonotapie"/>
        <w:jc w:val="left"/>
        <w:rPr>
          <w:lang w:val="es-AR"/>
        </w:rPr>
      </w:pPr>
      <w:r>
        <w:rPr>
          <w:rStyle w:val="Refdenotaalpie"/>
        </w:rPr>
        <w:footnoteRef/>
      </w:r>
      <w:r>
        <w:t xml:space="preserve"> La doctrina considera que la </w:t>
      </w:r>
      <w:r w:rsidRPr="00E808F9">
        <w:t xml:space="preserve"> solución resulta de toda lógica, pues no habiéndose incoado proceso penal alguno al momento de dictarse la sentencia civil ya no es posible volver atrás dejando sin efecto el valor de lo resuelto en dicha sede sin grave quebrantamiento de la garantía constitucional de propiedad y de la defensa en juicio (Pizarro y Vallespinos, Instituciones de derecho privado, Tomo 5, Buenos Aires, Hammurabi, 2012. Pág. 910.)</w:t>
      </w:r>
    </w:p>
  </w:footnote>
  <w:footnote w:id="27">
    <w:p w:rsidR="00997A58" w:rsidRDefault="00997A58" w:rsidP="00997A58">
      <w:pPr>
        <w:pStyle w:val="Textonotapie"/>
        <w:jc w:val="left"/>
      </w:pPr>
      <w:r>
        <w:rPr>
          <w:rStyle w:val="Refdenotaalpie"/>
        </w:rPr>
        <w:footnoteRef/>
      </w:r>
      <w:r>
        <w:t xml:space="preserve"> El supuesto previsto es aquel en el que  no habiéndose iniciado la acción penal (v.g. ausencia del imputado o por falta de instancia del ofendido cuando esta última depende de instancia privada), o encontrándose pendiente la decisión de aquella (por ejemplo, por presentarse alguno de los supuestos de excepción enumerados en el art. 1775 CCyC), se sustancia el proceso civil y se dicta en él sentencia que adquiere el carácter de cosa juzgada, y luego de ello se dicta la sentencia penal, cuya conclusión es</w:t>
      </w:r>
    </w:p>
    <w:p w:rsidR="00997A58" w:rsidRDefault="00997A58" w:rsidP="00997A58">
      <w:pPr>
        <w:pStyle w:val="Textonotapie"/>
        <w:jc w:val="left"/>
      </w:pPr>
      <w:r>
        <w:t>contraria a la adoptada en la acción resarcitoria.(</w:t>
      </w:r>
      <w:r w:rsidR="00DC3F52">
        <w:t xml:space="preserve">Sáenz Luis en Código Civil y Comercial de la Nación, comentado, t. IV, ed. Infojus) </w:t>
      </w:r>
    </w:p>
    <w:p w:rsidR="00997A58" w:rsidRPr="00997A58" w:rsidRDefault="00DC3F52" w:rsidP="00DC3F52">
      <w:pPr>
        <w:pStyle w:val="Textonotapie"/>
        <w:jc w:val="left"/>
        <w:rPr>
          <w:lang w:val="es-AR"/>
        </w:rPr>
      </w:pPr>
      <w:r>
        <w:t xml:space="preserve">Se </w:t>
      </w:r>
      <w:r w:rsidR="00997A58">
        <w:t>mantiene el principio de inmutabilidad de la sentencia</w:t>
      </w:r>
      <w:r>
        <w:t xml:space="preserve"> </w:t>
      </w:r>
      <w:r w:rsidR="00997A58">
        <w:t>civil anterior, admitiendo así una excepción al régimen de orden público que vincula</w:t>
      </w:r>
      <w:r>
        <w:t xml:space="preserve"> </w:t>
      </w:r>
      <w:r w:rsidR="00997A58">
        <w:t>el resultado de ambos procesos cuando se refieren a un mismo hecho, privilegiando la</w:t>
      </w:r>
      <w:r>
        <w:t xml:space="preserve"> </w:t>
      </w:r>
      <w:r w:rsidR="00997A58">
        <w:t>seguridad jurídica y la intangibilidad de la res iudicata cuando ella ha sido expedida regularmente</w:t>
      </w:r>
      <w:r>
        <w:t xml:space="preserve"> (Saux, Edgardo I., “Comentario al art. 1106 del Código Civil”, en Bueres - Highton, Código Civil comentado,  t. 3-A, p. 342, ed. Hammurabi)</w:t>
      </w:r>
    </w:p>
  </w:footnote>
  <w:footnote w:id="28">
    <w:p w:rsidR="00F87504" w:rsidRPr="00F87504" w:rsidRDefault="00F87504" w:rsidP="00DB2A24">
      <w:pPr>
        <w:pStyle w:val="Textonotapie"/>
        <w:jc w:val="left"/>
        <w:rPr>
          <w:lang w:val="es-AR"/>
        </w:rPr>
      </w:pPr>
      <w:r>
        <w:rPr>
          <w:rStyle w:val="Refdenotaalpie"/>
        </w:rPr>
        <w:footnoteRef/>
      </w:r>
      <w:r>
        <w:t xml:space="preserve"> No obstante aún bajo la vigencia del Código Civil se consideraban dos excepciones a tal principio</w:t>
      </w:r>
      <w:r w:rsidR="00AD692A">
        <w:t xml:space="preserve">, el primero en el </w:t>
      </w:r>
      <w:r>
        <w:t>cual la sentencia civil e</w:t>
      </w:r>
      <w:r w:rsidR="00AD692A">
        <w:t>ra</w:t>
      </w:r>
      <w:r>
        <w:t xml:space="preserve"> nula (</w:t>
      </w:r>
      <w:r w:rsidR="00AD692A">
        <w:t xml:space="preserve">v.g. </w:t>
      </w:r>
      <w:r>
        <w:t xml:space="preserve"> si se empleó dolo o violencia</w:t>
      </w:r>
      <w:r w:rsidR="00AD692A">
        <w:t xml:space="preserve"> </w:t>
      </w:r>
      <w:r>
        <w:t>contra el juez interviniente), en cuyo caso cae la autoridad de la cosa juzgada. E</w:t>
      </w:r>
      <w:r w:rsidR="00AD692A">
        <w:t xml:space="preserve">l </w:t>
      </w:r>
      <w:r>
        <w:t xml:space="preserve"> segundo</w:t>
      </w:r>
      <w:r w:rsidR="00AD692A">
        <w:t xml:space="preserve"> </w:t>
      </w:r>
      <w:r>
        <w:t>el previsto en el art. 243 de la ley 19.551, en cuanto a la conducta del fallido</w:t>
      </w:r>
      <w:r w:rsidR="00DB2A24">
        <w:t xml:space="preserve"> (Kemelmajer de Carlucci, Aída, “Comentario al art. 1106 del Código Civil”, en Belluscio - Zannoni, Código Civil comentado, t.. 5,  p. 324, ed. Astrea)</w:t>
      </w:r>
    </w:p>
  </w:footnote>
  <w:footnote w:id="29">
    <w:p w:rsidR="00715983" w:rsidRPr="00715983" w:rsidRDefault="00715983" w:rsidP="00715983">
      <w:pPr>
        <w:pStyle w:val="Textonotapie"/>
        <w:jc w:val="left"/>
        <w:rPr>
          <w:lang w:val="es-AR"/>
        </w:rPr>
      </w:pPr>
      <w:r>
        <w:rPr>
          <w:rStyle w:val="Refdenotaalpie"/>
        </w:rPr>
        <w:footnoteRef/>
      </w:r>
      <w:r w:rsidR="00F85386">
        <w:t xml:space="preserve"> Así se ha considerado </w:t>
      </w:r>
      <w:r>
        <w:t>irrelevantes</w:t>
      </w:r>
      <w:r w:rsidR="00F85386">
        <w:t xml:space="preserve"> </w:t>
      </w:r>
      <w:r w:rsidR="00DC6E2B">
        <w:t xml:space="preserve">el nuevo decisorio penal por ejemplo </w:t>
      </w:r>
      <w:r>
        <w:t>si se absuelve al dueño y conductor del</w:t>
      </w:r>
      <w:r w:rsidR="00DC6E2B">
        <w:t xml:space="preserve"> </w:t>
      </w:r>
      <w:r>
        <w:t>automotor por su falta de culpa en el evento dañoso, cuando en el litigio por daños fue</w:t>
      </w:r>
      <w:r w:rsidR="00DC6E2B">
        <w:t xml:space="preserve"> </w:t>
      </w:r>
      <w:r>
        <w:t>condenado en su calidad de propietario de la cosa riesgosa.</w:t>
      </w:r>
      <w:r w:rsidR="00DC6E2B">
        <w:t xml:space="preserve"> (Sáenz, ob. Cit.).</w:t>
      </w:r>
    </w:p>
  </w:footnote>
  <w:footnote w:id="30">
    <w:p w:rsidR="00342CE7" w:rsidRPr="00342CE7" w:rsidRDefault="00342CE7" w:rsidP="00342CE7">
      <w:pPr>
        <w:pStyle w:val="Textonotapie"/>
        <w:jc w:val="left"/>
        <w:rPr>
          <w:lang w:val="es-AR"/>
        </w:rPr>
      </w:pPr>
      <w:r>
        <w:rPr>
          <w:rStyle w:val="Refdenotaalpie"/>
        </w:rPr>
        <w:footnoteRef/>
      </w:r>
      <w:r>
        <w:t xml:space="preserve"> Por ejemplo cuando </w:t>
      </w:r>
      <w:r w:rsidRPr="00342CE7">
        <w:t>se absuelve al condenado por la desaparición del tipo tenido en cuenta en la primera sentencia.</w:t>
      </w:r>
    </w:p>
  </w:footnote>
  <w:footnote w:id="31">
    <w:p w:rsidR="00644D5B" w:rsidRPr="00644D5B" w:rsidRDefault="00644D5B" w:rsidP="00644D5B">
      <w:pPr>
        <w:pStyle w:val="Textonotapie"/>
        <w:jc w:val="left"/>
        <w:rPr>
          <w:lang w:val="es-AR"/>
        </w:rPr>
      </w:pPr>
      <w:r>
        <w:rPr>
          <w:rStyle w:val="Refdenotaalpie"/>
        </w:rPr>
        <w:footnoteRef/>
      </w:r>
      <w:r>
        <w:t xml:space="preserve"> Hitters, JM– Rapallini, G. en Morello –Sosa– Berizonce; “Códigos Procesales en lo Civil y Comercial de la provincia de Buenos Aires y de la Nación. Cuarta Edición. Abeledo Perrot, 2016. Tomo IV pp. 956–957.</w:t>
      </w:r>
      <w:r w:rsidR="00C327DA">
        <w:t xml:space="preserve"> Aunque algunos piens</w:t>
      </w:r>
      <w:r w:rsidR="00E460B9">
        <w:t>an</w:t>
      </w:r>
      <w:r w:rsidR="00C327DA">
        <w:t xml:space="preserve"> que deja librado a las jurisdicciones locales, fijar los supuestos de revisión </w:t>
      </w:r>
      <w:r w:rsidR="00E460B9">
        <w:t xml:space="preserve">y </w:t>
      </w:r>
    </w:p>
  </w:footnote>
  <w:footnote w:id="32">
    <w:p w:rsidR="004F7F4F" w:rsidRPr="004F7F4F" w:rsidRDefault="004F7F4F" w:rsidP="004F7F4F">
      <w:pPr>
        <w:pStyle w:val="Textonotapie"/>
        <w:jc w:val="left"/>
        <w:rPr>
          <w:lang w:val="es-AR"/>
        </w:rPr>
      </w:pPr>
      <w:r>
        <w:rPr>
          <w:rStyle w:val="Refdenotaalpie"/>
        </w:rPr>
        <w:footnoteRef/>
      </w:r>
      <w:r>
        <w:t xml:space="preserve">  Por ejemplo cuando  la sentencia dictada en sede penal habiendo mediado revocación de la suspensión del juicio a prueba (art. 76 quater CP) o</w:t>
      </w:r>
      <w:r w:rsidR="00450396">
        <w:t xml:space="preserve"> </w:t>
      </w:r>
      <w:r>
        <w:t xml:space="preserve">una sentencia penal condenatoria sobreviniente al rechazo de la demanda en sede civil </w:t>
      </w:r>
      <w:r w:rsidR="00450396">
        <w:t xml:space="preserve"> (hipótesis inversa al inc. b del art. 1780 CCCN) </w:t>
      </w:r>
    </w:p>
  </w:footnote>
  <w:footnote w:id="33">
    <w:p w:rsidR="00450396" w:rsidRPr="00450396" w:rsidRDefault="00450396" w:rsidP="00450396">
      <w:pPr>
        <w:pStyle w:val="Textonotapie"/>
        <w:jc w:val="left"/>
        <w:rPr>
          <w:lang w:val="es-AR"/>
        </w:rPr>
      </w:pPr>
      <w:r>
        <w:rPr>
          <w:rStyle w:val="Refdenotaalpie"/>
        </w:rPr>
        <w:footnoteRef/>
      </w:r>
      <w:r>
        <w:t xml:space="preserve"> </w:t>
      </w:r>
      <w:r w:rsidR="00CE45BB">
        <w:t xml:space="preserve">Hitters, considera que </w:t>
      </w:r>
      <w:r w:rsidRPr="00450396">
        <w:t xml:space="preserve">tratándose de un caso de silencio de la ley debe descartarse la posibilidad de utilizar el recurso de revisión que algunas provincias han previsto, </w:t>
      </w:r>
      <w:r w:rsidR="00CE45BB">
        <w:t xml:space="preserve">pues no es </w:t>
      </w:r>
      <w:r w:rsidRPr="00450396">
        <w:t>dable ejercerlo por analogía, quedando en cambio expedito la acción autónoma</w:t>
      </w:r>
      <w:r w:rsidR="00CE45BB">
        <w:t xml:space="preserve"> (</w:t>
      </w:r>
      <w:r w:rsidR="00CE45BB" w:rsidRPr="00CE45BB">
        <w:t>Hitters, JC. La revisión de la cosa juzgada, cit. pp. 278/279</w:t>
      </w:r>
      <w:r w:rsidR="00CE45BB">
        <w:t>)</w:t>
      </w:r>
      <w:r w:rsidR="00CE45BB" w:rsidRPr="00CE45BB">
        <w:t>.</w:t>
      </w:r>
    </w:p>
  </w:footnote>
  <w:footnote w:id="34">
    <w:p w:rsidR="004D3A90" w:rsidRPr="004D3A90" w:rsidRDefault="004D3A90" w:rsidP="008162CF">
      <w:pPr>
        <w:pStyle w:val="Textonotapie"/>
        <w:jc w:val="left"/>
        <w:rPr>
          <w:lang w:val="es-AR"/>
        </w:rPr>
      </w:pPr>
      <w:r>
        <w:rPr>
          <w:rStyle w:val="Refdenotaalpie"/>
        </w:rPr>
        <w:footnoteRef/>
      </w:r>
      <w:r>
        <w:t xml:space="preserve"> </w:t>
      </w:r>
      <w:r w:rsidR="008162CF">
        <w:t>Artículo 144 - La Suprema Corte tendrá las siguientes atribuciones y deberes,  sin perjuicio de los demás que determine la Ley:…. Inc. 9°- “Conocerá como tribunal de revisión en los casos en que después de pronunciada la sentencia definitiva de segunda instancia, la parte perjudicada obtuviere o recobrare documentos decisivos, ignorados, extraviados o detenidos por fuerza mayor, por obra de la parte en cuyo favor se hubiere dictado la sentencia o por otra causa análoga; cuando la sentencia se hubiere dictado en virtud de documentos o de prueba testimonial y se declarase en juicio posterior que fueron falsas dichas pruebas o documentos; cuando la sentencia firme recayese sobre cosas no pedidas por las partes u omitiese resolver sobre alguno de los capítulos de la demanda, contestación o reconvención; y cuando la sentencia  firme se hubiere dictado u obtenido en virtud de prevaricato, cohecho, violencia u otra maquinación fraudulenta”.</w:t>
      </w:r>
    </w:p>
  </w:footnote>
  <w:footnote w:id="35">
    <w:p w:rsidR="00B72D95" w:rsidRPr="00B72D95" w:rsidRDefault="00B72D95" w:rsidP="00B72D95">
      <w:pPr>
        <w:pStyle w:val="Textonotapie"/>
        <w:jc w:val="left"/>
        <w:rPr>
          <w:lang w:val="es-AR"/>
        </w:rPr>
      </w:pPr>
      <w:r>
        <w:rPr>
          <w:rStyle w:val="Refdenotaalpie"/>
        </w:rPr>
        <w:footnoteRef/>
      </w:r>
      <w:r>
        <w:t xml:space="preserve"> Randich, ob. Cit.</w:t>
      </w:r>
    </w:p>
  </w:footnote>
  <w:footnote w:id="36">
    <w:p w:rsidR="006647BC" w:rsidRPr="006647BC" w:rsidRDefault="006647BC" w:rsidP="004D11A0">
      <w:pPr>
        <w:pStyle w:val="Textonotapie"/>
        <w:jc w:val="left"/>
        <w:rPr>
          <w:lang w:val="es-AR"/>
        </w:rPr>
      </w:pPr>
      <w:r>
        <w:rPr>
          <w:rStyle w:val="Refdenotaalpie"/>
        </w:rPr>
        <w:footnoteRef/>
      </w:r>
      <w:r w:rsidR="00DB5FB1">
        <w:t>La doctrina sustenta que</w:t>
      </w:r>
      <w:r w:rsidR="00DF358E">
        <w:t xml:space="preserve"> “</w:t>
      </w:r>
      <w:r w:rsidR="00DF358E" w:rsidRPr="00DF358E">
        <w:t>El proceso nulificante, similar en este aspecto a la acción de revisión, comprende dos fases separables: a) en la primera (judicium rescindens) se indaga sobre la existencia del motivo alegado de nulidad, pero no sobre la totalidad del thema decidendi; es necesario que medie relación causal entre el hecho invocado y la decisión que se pretende hacer ver; se requiere que existan motivos suficientes para creer que el resultado del juicio hubiera sido distinto de no haber mediado las circunstancias del agravio (principio de trascendencia) y que el accionante no hubiera sido quien, precisamente, originó o contribuyó al vicio que alega (principio de protección); b) en la segunda etapa (judicium rescissorium) admitida la nulidad del proceso originario, cuyo efecto es reponer a las partes hasta donde sea posible en el estado en que se encontraban antes del hecho que motivara la anulación, el mismo juez debe pronunciarse nuevamente sobre el fondo del asunto, desaparecido el vicio</w:t>
      </w:r>
      <w:r w:rsidR="00DF358E">
        <w:t xml:space="preserve">” </w:t>
      </w:r>
      <w:r w:rsidR="00DF358E" w:rsidRPr="00DF358E">
        <w:t>(B</w:t>
      </w:r>
      <w:r w:rsidR="00DF358E">
        <w:t>erizconce R</w:t>
      </w:r>
      <w:r w:rsidR="00DF358E" w:rsidRPr="00DF358E">
        <w:t>oberto, “La nulidad en el proceso” Ed Platense, La Plata 1967, págs.125 y ss.</w:t>
      </w:r>
      <w:r w:rsidR="00DF358E">
        <w:t>, Jorge W.Peyrano , Acción de Nulidad de Sentencia “Firme”</w:t>
      </w:r>
      <w:r w:rsidR="004D11A0">
        <w:t xml:space="preserve"> en “La Impugnación de la Sentencia Firme: Teoría General – Procedimiento” Autor: Peyrano Jorge (Director); Carbone Carlos (Coordinador), ps. 15 y s.s.,  Rubinzal-Culzoni, 2006)</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E47759"/>
    <w:multiLevelType w:val="hybridMultilevel"/>
    <w:tmpl w:val="C79C695C"/>
    <w:lvl w:ilvl="0" w:tplc="2C0A0001">
      <w:start w:val="1"/>
      <w:numFmt w:val="bullet"/>
      <w:lvlText w:val=""/>
      <w:lvlJc w:val="left"/>
      <w:pPr>
        <w:ind w:left="4240" w:hanging="360"/>
      </w:pPr>
      <w:rPr>
        <w:rFonts w:ascii="Symbol" w:hAnsi="Symbol" w:hint="default"/>
      </w:rPr>
    </w:lvl>
    <w:lvl w:ilvl="1" w:tplc="2C0A0003" w:tentative="1">
      <w:start w:val="1"/>
      <w:numFmt w:val="bullet"/>
      <w:lvlText w:val="o"/>
      <w:lvlJc w:val="left"/>
      <w:pPr>
        <w:ind w:left="4960" w:hanging="360"/>
      </w:pPr>
      <w:rPr>
        <w:rFonts w:ascii="Courier New" w:hAnsi="Courier New" w:cs="Courier New" w:hint="default"/>
      </w:rPr>
    </w:lvl>
    <w:lvl w:ilvl="2" w:tplc="2C0A0005" w:tentative="1">
      <w:start w:val="1"/>
      <w:numFmt w:val="bullet"/>
      <w:lvlText w:val=""/>
      <w:lvlJc w:val="left"/>
      <w:pPr>
        <w:ind w:left="5680" w:hanging="360"/>
      </w:pPr>
      <w:rPr>
        <w:rFonts w:ascii="Wingdings" w:hAnsi="Wingdings" w:hint="default"/>
      </w:rPr>
    </w:lvl>
    <w:lvl w:ilvl="3" w:tplc="2C0A0001" w:tentative="1">
      <w:start w:val="1"/>
      <w:numFmt w:val="bullet"/>
      <w:lvlText w:val=""/>
      <w:lvlJc w:val="left"/>
      <w:pPr>
        <w:ind w:left="6400" w:hanging="360"/>
      </w:pPr>
      <w:rPr>
        <w:rFonts w:ascii="Symbol" w:hAnsi="Symbol" w:hint="default"/>
      </w:rPr>
    </w:lvl>
    <w:lvl w:ilvl="4" w:tplc="2C0A0003" w:tentative="1">
      <w:start w:val="1"/>
      <w:numFmt w:val="bullet"/>
      <w:lvlText w:val="o"/>
      <w:lvlJc w:val="left"/>
      <w:pPr>
        <w:ind w:left="7120" w:hanging="360"/>
      </w:pPr>
      <w:rPr>
        <w:rFonts w:ascii="Courier New" w:hAnsi="Courier New" w:cs="Courier New" w:hint="default"/>
      </w:rPr>
    </w:lvl>
    <w:lvl w:ilvl="5" w:tplc="2C0A0005" w:tentative="1">
      <w:start w:val="1"/>
      <w:numFmt w:val="bullet"/>
      <w:lvlText w:val=""/>
      <w:lvlJc w:val="left"/>
      <w:pPr>
        <w:ind w:left="7840" w:hanging="360"/>
      </w:pPr>
      <w:rPr>
        <w:rFonts w:ascii="Wingdings" w:hAnsi="Wingdings" w:hint="default"/>
      </w:rPr>
    </w:lvl>
    <w:lvl w:ilvl="6" w:tplc="2C0A0001" w:tentative="1">
      <w:start w:val="1"/>
      <w:numFmt w:val="bullet"/>
      <w:lvlText w:val=""/>
      <w:lvlJc w:val="left"/>
      <w:pPr>
        <w:ind w:left="8560" w:hanging="360"/>
      </w:pPr>
      <w:rPr>
        <w:rFonts w:ascii="Symbol" w:hAnsi="Symbol" w:hint="default"/>
      </w:rPr>
    </w:lvl>
    <w:lvl w:ilvl="7" w:tplc="2C0A0003" w:tentative="1">
      <w:start w:val="1"/>
      <w:numFmt w:val="bullet"/>
      <w:lvlText w:val="o"/>
      <w:lvlJc w:val="left"/>
      <w:pPr>
        <w:ind w:left="9280" w:hanging="360"/>
      </w:pPr>
      <w:rPr>
        <w:rFonts w:ascii="Courier New" w:hAnsi="Courier New" w:cs="Courier New" w:hint="default"/>
      </w:rPr>
    </w:lvl>
    <w:lvl w:ilvl="8" w:tplc="2C0A0005" w:tentative="1">
      <w:start w:val="1"/>
      <w:numFmt w:val="bullet"/>
      <w:lvlText w:val=""/>
      <w:lvlJc w:val="left"/>
      <w:pPr>
        <w:ind w:left="10000" w:hanging="360"/>
      </w:pPr>
      <w:rPr>
        <w:rFonts w:ascii="Wingdings" w:hAnsi="Wingdings" w:hint="default"/>
      </w:rPr>
    </w:lvl>
  </w:abstractNum>
  <w:abstractNum w:abstractNumId="1">
    <w:nsid w:val="0D4076E8"/>
    <w:multiLevelType w:val="hybridMultilevel"/>
    <w:tmpl w:val="0408F722"/>
    <w:lvl w:ilvl="0" w:tplc="0C0A000B">
      <w:start w:val="1"/>
      <w:numFmt w:val="bullet"/>
      <w:lvlText w:val=""/>
      <w:lvlJc w:val="left"/>
      <w:pPr>
        <w:ind w:left="2140" w:hanging="360"/>
      </w:pPr>
      <w:rPr>
        <w:rFonts w:ascii="Wingdings" w:hAnsi="Wingdings" w:hint="default"/>
      </w:rPr>
    </w:lvl>
    <w:lvl w:ilvl="1" w:tplc="0C0A0003" w:tentative="1">
      <w:start w:val="1"/>
      <w:numFmt w:val="bullet"/>
      <w:lvlText w:val="o"/>
      <w:lvlJc w:val="left"/>
      <w:pPr>
        <w:ind w:left="2860" w:hanging="360"/>
      </w:pPr>
      <w:rPr>
        <w:rFonts w:ascii="Courier New" w:hAnsi="Courier New" w:cs="Courier New" w:hint="default"/>
      </w:rPr>
    </w:lvl>
    <w:lvl w:ilvl="2" w:tplc="0C0A0005" w:tentative="1">
      <w:start w:val="1"/>
      <w:numFmt w:val="bullet"/>
      <w:lvlText w:val=""/>
      <w:lvlJc w:val="left"/>
      <w:pPr>
        <w:ind w:left="3580" w:hanging="360"/>
      </w:pPr>
      <w:rPr>
        <w:rFonts w:ascii="Wingdings" w:hAnsi="Wingdings" w:hint="default"/>
      </w:rPr>
    </w:lvl>
    <w:lvl w:ilvl="3" w:tplc="0C0A0001" w:tentative="1">
      <w:start w:val="1"/>
      <w:numFmt w:val="bullet"/>
      <w:lvlText w:val=""/>
      <w:lvlJc w:val="left"/>
      <w:pPr>
        <w:ind w:left="4300" w:hanging="360"/>
      </w:pPr>
      <w:rPr>
        <w:rFonts w:ascii="Symbol" w:hAnsi="Symbol" w:hint="default"/>
      </w:rPr>
    </w:lvl>
    <w:lvl w:ilvl="4" w:tplc="0C0A0003" w:tentative="1">
      <w:start w:val="1"/>
      <w:numFmt w:val="bullet"/>
      <w:lvlText w:val="o"/>
      <w:lvlJc w:val="left"/>
      <w:pPr>
        <w:ind w:left="5020" w:hanging="360"/>
      </w:pPr>
      <w:rPr>
        <w:rFonts w:ascii="Courier New" w:hAnsi="Courier New" w:cs="Courier New" w:hint="default"/>
      </w:rPr>
    </w:lvl>
    <w:lvl w:ilvl="5" w:tplc="0C0A0005" w:tentative="1">
      <w:start w:val="1"/>
      <w:numFmt w:val="bullet"/>
      <w:lvlText w:val=""/>
      <w:lvlJc w:val="left"/>
      <w:pPr>
        <w:ind w:left="5740" w:hanging="360"/>
      </w:pPr>
      <w:rPr>
        <w:rFonts w:ascii="Wingdings" w:hAnsi="Wingdings" w:hint="default"/>
      </w:rPr>
    </w:lvl>
    <w:lvl w:ilvl="6" w:tplc="0C0A0001" w:tentative="1">
      <w:start w:val="1"/>
      <w:numFmt w:val="bullet"/>
      <w:lvlText w:val=""/>
      <w:lvlJc w:val="left"/>
      <w:pPr>
        <w:ind w:left="6460" w:hanging="360"/>
      </w:pPr>
      <w:rPr>
        <w:rFonts w:ascii="Symbol" w:hAnsi="Symbol" w:hint="default"/>
      </w:rPr>
    </w:lvl>
    <w:lvl w:ilvl="7" w:tplc="0C0A0003" w:tentative="1">
      <w:start w:val="1"/>
      <w:numFmt w:val="bullet"/>
      <w:lvlText w:val="o"/>
      <w:lvlJc w:val="left"/>
      <w:pPr>
        <w:ind w:left="7180" w:hanging="360"/>
      </w:pPr>
      <w:rPr>
        <w:rFonts w:ascii="Courier New" w:hAnsi="Courier New" w:cs="Courier New" w:hint="default"/>
      </w:rPr>
    </w:lvl>
    <w:lvl w:ilvl="8" w:tplc="0C0A0005" w:tentative="1">
      <w:start w:val="1"/>
      <w:numFmt w:val="bullet"/>
      <w:lvlText w:val=""/>
      <w:lvlJc w:val="left"/>
      <w:pPr>
        <w:ind w:left="7900" w:hanging="360"/>
      </w:pPr>
      <w:rPr>
        <w:rFonts w:ascii="Wingdings" w:hAnsi="Wingdings" w:hint="default"/>
      </w:rPr>
    </w:lvl>
  </w:abstractNum>
  <w:abstractNum w:abstractNumId="2">
    <w:nsid w:val="1F117914"/>
    <w:multiLevelType w:val="hybridMultilevel"/>
    <w:tmpl w:val="CA40A614"/>
    <w:lvl w:ilvl="0" w:tplc="0C0A000B">
      <w:start w:val="1"/>
      <w:numFmt w:val="bullet"/>
      <w:lvlText w:val=""/>
      <w:lvlJc w:val="left"/>
      <w:pPr>
        <w:ind w:left="3536" w:hanging="360"/>
      </w:pPr>
      <w:rPr>
        <w:rFonts w:ascii="Wingdings" w:hAnsi="Wingdings" w:hint="default"/>
      </w:rPr>
    </w:lvl>
    <w:lvl w:ilvl="1" w:tplc="0C0A0003" w:tentative="1">
      <w:start w:val="1"/>
      <w:numFmt w:val="bullet"/>
      <w:lvlText w:val="o"/>
      <w:lvlJc w:val="left"/>
      <w:pPr>
        <w:ind w:left="4256" w:hanging="360"/>
      </w:pPr>
      <w:rPr>
        <w:rFonts w:ascii="Courier New" w:hAnsi="Courier New" w:cs="Courier New" w:hint="default"/>
      </w:rPr>
    </w:lvl>
    <w:lvl w:ilvl="2" w:tplc="0C0A0005" w:tentative="1">
      <w:start w:val="1"/>
      <w:numFmt w:val="bullet"/>
      <w:lvlText w:val=""/>
      <w:lvlJc w:val="left"/>
      <w:pPr>
        <w:ind w:left="4976" w:hanging="360"/>
      </w:pPr>
      <w:rPr>
        <w:rFonts w:ascii="Wingdings" w:hAnsi="Wingdings" w:hint="default"/>
      </w:rPr>
    </w:lvl>
    <w:lvl w:ilvl="3" w:tplc="0C0A0001" w:tentative="1">
      <w:start w:val="1"/>
      <w:numFmt w:val="bullet"/>
      <w:lvlText w:val=""/>
      <w:lvlJc w:val="left"/>
      <w:pPr>
        <w:ind w:left="5696" w:hanging="360"/>
      </w:pPr>
      <w:rPr>
        <w:rFonts w:ascii="Symbol" w:hAnsi="Symbol" w:hint="default"/>
      </w:rPr>
    </w:lvl>
    <w:lvl w:ilvl="4" w:tplc="0C0A0003" w:tentative="1">
      <w:start w:val="1"/>
      <w:numFmt w:val="bullet"/>
      <w:lvlText w:val="o"/>
      <w:lvlJc w:val="left"/>
      <w:pPr>
        <w:ind w:left="6416" w:hanging="360"/>
      </w:pPr>
      <w:rPr>
        <w:rFonts w:ascii="Courier New" w:hAnsi="Courier New" w:cs="Courier New" w:hint="default"/>
      </w:rPr>
    </w:lvl>
    <w:lvl w:ilvl="5" w:tplc="0C0A0005" w:tentative="1">
      <w:start w:val="1"/>
      <w:numFmt w:val="bullet"/>
      <w:lvlText w:val=""/>
      <w:lvlJc w:val="left"/>
      <w:pPr>
        <w:ind w:left="7136" w:hanging="360"/>
      </w:pPr>
      <w:rPr>
        <w:rFonts w:ascii="Wingdings" w:hAnsi="Wingdings" w:hint="default"/>
      </w:rPr>
    </w:lvl>
    <w:lvl w:ilvl="6" w:tplc="0C0A0001" w:tentative="1">
      <w:start w:val="1"/>
      <w:numFmt w:val="bullet"/>
      <w:lvlText w:val=""/>
      <w:lvlJc w:val="left"/>
      <w:pPr>
        <w:ind w:left="7856" w:hanging="360"/>
      </w:pPr>
      <w:rPr>
        <w:rFonts w:ascii="Symbol" w:hAnsi="Symbol" w:hint="default"/>
      </w:rPr>
    </w:lvl>
    <w:lvl w:ilvl="7" w:tplc="0C0A0003" w:tentative="1">
      <w:start w:val="1"/>
      <w:numFmt w:val="bullet"/>
      <w:lvlText w:val="o"/>
      <w:lvlJc w:val="left"/>
      <w:pPr>
        <w:ind w:left="8576" w:hanging="360"/>
      </w:pPr>
      <w:rPr>
        <w:rFonts w:ascii="Courier New" w:hAnsi="Courier New" w:cs="Courier New" w:hint="default"/>
      </w:rPr>
    </w:lvl>
    <w:lvl w:ilvl="8" w:tplc="0C0A0005" w:tentative="1">
      <w:start w:val="1"/>
      <w:numFmt w:val="bullet"/>
      <w:lvlText w:val=""/>
      <w:lvlJc w:val="left"/>
      <w:pPr>
        <w:ind w:left="9296" w:hanging="360"/>
      </w:pPr>
      <w:rPr>
        <w:rFonts w:ascii="Wingdings" w:hAnsi="Wingdings" w:hint="default"/>
      </w:rPr>
    </w:lvl>
  </w:abstractNum>
  <w:abstractNum w:abstractNumId="3">
    <w:nsid w:val="210750BF"/>
    <w:multiLevelType w:val="hybridMultilevel"/>
    <w:tmpl w:val="EAAC5F12"/>
    <w:lvl w:ilvl="0" w:tplc="0C0A0001">
      <w:start w:val="1"/>
      <w:numFmt w:val="bullet"/>
      <w:lvlText w:val=""/>
      <w:lvlJc w:val="left"/>
      <w:pPr>
        <w:ind w:left="2140" w:hanging="360"/>
      </w:pPr>
      <w:rPr>
        <w:rFonts w:ascii="Symbol" w:hAnsi="Symbol" w:hint="default"/>
      </w:rPr>
    </w:lvl>
    <w:lvl w:ilvl="1" w:tplc="0C0A0003" w:tentative="1">
      <w:start w:val="1"/>
      <w:numFmt w:val="bullet"/>
      <w:lvlText w:val="o"/>
      <w:lvlJc w:val="left"/>
      <w:pPr>
        <w:ind w:left="2860" w:hanging="360"/>
      </w:pPr>
      <w:rPr>
        <w:rFonts w:ascii="Courier New" w:hAnsi="Courier New" w:cs="Courier New" w:hint="default"/>
      </w:rPr>
    </w:lvl>
    <w:lvl w:ilvl="2" w:tplc="0C0A0005" w:tentative="1">
      <w:start w:val="1"/>
      <w:numFmt w:val="bullet"/>
      <w:lvlText w:val=""/>
      <w:lvlJc w:val="left"/>
      <w:pPr>
        <w:ind w:left="3580" w:hanging="360"/>
      </w:pPr>
      <w:rPr>
        <w:rFonts w:ascii="Wingdings" w:hAnsi="Wingdings" w:hint="default"/>
      </w:rPr>
    </w:lvl>
    <w:lvl w:ilvl="3" w:tplc="0C0A0001" w:tentative="1">
      <w:start w:val="1"/>
      <w:numFmt w:val="bullet"/>
      <w:lvlText w:val=""/>
      <w:lvlJc w:val="left"/>
      <w:pPr>
        <w:ind w:left="4300" w:hanging="360"/>
      </w:pPr>
      <w:rPr>
        <w:rFonts w:ascii="Symbol" w:hAnsi="Symbol" w:hint="default"/>
      </w:rPr>
    </w:lvl>
    <w:lvl w:ilvl="4" w:tplc="0C0A0003" w:tentative="1">
      <w:start w:val="1"/>
      <w:numFmt w:val="bullet"/>
      <w:lvlText w:val="o"/>
      <w:lvlJc w:val="left"/>
      <w:pPr>
        <w:ind w:left="5020" w:hanging="360"/>
      </w:pPr>
      <w:rPr>
        <w:rFonts w:ascii="Courier New" w:hAnsi="Courier New" w:cs="Courier New" w:hint="default"/>
      </w:rPr>
    </w:lvl>
    <w:lvl w:ilvl="5" w:tplc="0C0A0005" w:tentative="1">
      <w:start w:val="1"/>
      <w:numFmt w:val="bullet"/>
      <w:lvlText w:val=""/>
      <w:lvlJc w:val="left"/>
      <w:pPr>
        <w:ind w:left="5740" w:hanging="360"/>
      </w:pPr>
      <w:rPr>
        <w:rFonts w:ascii="Wingdings" w:hAnsi="Wingdings" w:hint="default"/>
      </w:rPr>
    </w:lvl>
    <w:lvl w:ilvl="6" w:tplc="0C0A0001" w:tentative="1">
      <w:start w:val="1"/>
      <w:numFmt w:val="bullet"/>
      <w:lvlText w:val=""/>
      <w:lvlJc w:val="left"/>
      <w:pPr>
        <w:ind w:left="6460" w:hanging="360"/>
      </w:pPr>
      <w:rPr>
        <w:rFonts w:ascii="Symbol" w:hAnsi="Symbol" w:hint="default"/>
      </w:rPr>
    </w:lvl>
    <w:lvl w:ilvl="7" w:tplc="0C0A0003" w:tentative="1">
      <w:start w:val="1"/>
      <w:numFmt w:val="bullet"/>
      <w:lvlText w:val="o"/>
      <w:lvlJc w:val="left"/>
      <w:pPr>
        <w:ind w:left="7180" w:hanging="360"/>
      </w:pPr>
      <w:rPr>
        <w:rFonts w:ascii="Courier New" w:hAnsi="Courier New" w:cs="Courier New" w:hint="default"/>
      </w:rPr>
    </w:lvl>
    <w:lvl w:ilvl="8" w:tplc="0C0A0005" w:tentative="1">
      <w:start w:val="1"/>
      <w:numFmt w:val="bullet"/>
      <w:lvlText w:val=""/>
      <w:lvlJc w:val="left"/>
      <w:pPr>
        <w:ind w:left="7900" w:hanging="360"/>
      </w:pPr>
      <w:rPr>
        <w:rFonts w:ascii="Wingdings" w:hAnsi="Wingdings" w:hint="default"/>
      </w:rPr>
    </w:lvl>
  </w:abstractNum>
  <w:abstractNum w:abstractNumId="4">
    <w:nsid w:val="356A6B57"/>
    <w:multiLevelType w:val="hybridMultilevel"/>
    <w:tmpl w:val="758857A6"/>
    <w:lvl w:ilvl="0" w:tplc="2C0A0001">
      <w:start w:val="1"/>
      <w:numFmt w:val="bullet"/>
      <w:lvlText w:val=""/>
      <w:lvlJc w:val="left"/>
      <w:pPr>
        <w:ind w:left="3856" w:hanging="360"/>
      </w:pPr>
      <w:rPr>
        <w:rFonts w:ascii="Symbol" w:hAnsi="Symbol" w:hint="default"/>
      </w:rPr>
    </w:lvl>
    <w:lvl w:ilvl="1" w:tplc="2C0A0003" w:tentative="1">
      <w:start w:val="1"/>
      <w:numFmt w:val="bullet"/>
      <w:lvlText w:val="o"/>
      <w:lvlJc w:val="left"/>
      <w:pPr>
        <w:ind w:left="4576" w:hanging="360"/>
      </w:pPr>
      <w:rPr>
        <w:rFonts w:ascii="Courier New" w:hAnsi="Courier New" w:cs="Courier New" w:hint="default"/>
      </w:rPr>
    </w:lvl>
    <w:lvl w:ilvl="2" w:tplc="2C0A0005" w:tentative="1">
      <w:start w:val="1"/>
      <w:numFmt w:val="bullet"/>
      <w:lvlText w:val=""/>
      <w:lvlJc w:val="left"/>
      <w:pPr>
        <w:ind w:left="5296" w:hanging="360"/>
      </w:pPr>
      <w:rPr>
        <w:rFonts w:ascii="Wingdings" w:hAnsi="Wingdings" w:hint="default"/>
      </w:rPr>
    </w:lvl>
    <w:lvl w:ilvl="3" w:tplc="2C0A0001" w:tentative="1">
      <w:start w:val="1"/>
      <w:numFmt w:val="bullet"/>
      <w:lvlText w:val=""/>
      <w:lvlJc w:val="left"/>
      <w:pPr>
        <w:ind w:left="6016" w:hanging="360"/>
      </w:pPr>
      <w:rPr>
        <w:rFonts w:ascii="Symbol" w:hAnsi="Symbol" w:hint="default"/>
      </w:rPr>
    </w:lvl>
    <w:lvl w:ilvl="4" w:tplc="2C0A0003" w:tentative="1">
      <w:start w:val="1"/>
      <w:numFmt w:val="bullet"/>
      <w:lvlText w:val="o"/>
      <w:lvlJc w:val="left"/>
      <w:pPr>
        <w:ind w:left="6736" w:hanging="360"/>
      </w:pPr>
      <w:rPr>
        <w:rFonts w:ascii="Courier New" w:hAnsi="Courier New" w:cs="Courier New" w:hint="default"/>
      </w:rPr>
    </w:lvl>
    <w:lvl w:ilvl="5" w:tplc="2C0A0005" w:tentative="1">
      <w:start w:val="1"/>
      <w:numFmt w:val="bullet"/>
      <w:lvlText w:val=""/>
      <w:lvlJc w:val="left"/>
      <w:pPr>
        <w:ind w:left="7456" w:hanging="360"/>
      </w:pPr>
      <w:rPr>
        <w:rFonts w:ascii="Wingdings" w:hAnsi="Wingdings" w:hint="default"/>
      </w:rPr>
    </w:lvl>
    <w:lvl w:ilvl="6" w:tplc="2C0A0001" w:tentative="1">
      <w:start w:val="1"/>
      <w:numFmt w:val="bullet"/>
      <w:lvlText w:val=""/>
      <w:lvlJc w:val="left"/>
      <w:pPr>
        <w:ind w:left="8176" w:hanging="360"/>
      </w:pPr>
      <w:rPr>
        <w:rFonts w:ascii="Symbol" w:hAnsi="Symbol" w:hint="default"/>
      </w:rPr>
    </w:lvl>
    <w:lvl w:ilvl="7" w:tplc="2C0A0003" w:tentative="1">
      <w:start w:val="1"/>
      <w:numFmt w:val="bullet"/>
      <w:lvlText w:val="o"/>
      <w:lvlJc w:val="left"/>
      <w:pPr>
        <w:ind w:left="8896" w:hanging="360"/>
      </w:pPr>
      <w:rPr>
        <w:rFonts w:ascii="Courier New" w:hAnsi="Courier New" w:cs="Courier New" w:hint="default"/>
      </w:rPr>
    </w:lvl>
    <w:lvl w:ilvl="8" w:tplc="2C0A0005" w:tentative="1">
      <w:start w:val="1"/>
      <w:numFmt w:val="bullet"/>
      <w:lvlText w:val=""/>
      <w:lvlJc w:val="left"/>
      <w:pPr>
        <w:ind w:left="9616" w:hanging="360"/>
      </w:pPr>
      <w:rPr>
        <w:rFonts w:ascii="Wingdings" w:hAnsi="Wingdings" w:hint="default"/>
      </w:rPr>
    </w:lvl>
  </w:abstractNum>
  <w:abstractNum w:abstractNumId="5">
    <w:nsid w:val="407E630C"/>
    <w:multiLevelType w:val="hybridMultilevel"/>
    <w:tmpl w:val="39AE466A"/>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6">
    <w:nsid w:val="5E693F2F"/>
    <w:multiLevelType w:val="hybridMultilevel"/>
    <w:tmpl w:val="7F50C322"/>
    <w:lvl w:ilvl="0" w:tplc="2C0A000D">
      <w:start w:val="1"/>
      <w:numFmt w:val="bullet"/>
      <w:lvlText w:val=""/>
      <w:lvlJc w:val="left"/>
      <w:pPr>
        <w:ind w:left="3600" w:hanging="360"/>
      </w:pPr>
      <w:rPr>
        <w:rFonts w:ascii="Wingdings" w:hAnsi="Wingdings" w:hint="default"/>
      </w:rPr>
    </w:lvl>
    <w:lvl w:ilvl="1" w:tplc="2C0A0003" w:tentative="1">
      <w:start w:val="1"/>
      <w:numFmt w:val="bullet"/>
      <w:lvlText w:val="o"/>
      <w:lvlJc w:val="left"/>
      <w:pPr>
        <w:ind w:left="4320" w:hanging="360"/>
      </w:pPr>
      <w:rPr>
        <w:rFonts w:ascii="Courier New" w:hAnsi="Courier New" w:cs="Courier New" w:hint="default"/>
      </w:rPr>
    </w:lvl>
    <w:lvl w:ilvl="2" w:tplc="2C0A0005" w:tentative="1">
      <w:start w:val="1"/>
      <w:numFmt w:val="bullet"/>
      <w:lvlText w:val=""/>
      <w:lvlJc w:val="left"/>
      <w:pPr>
        <w:ind w:left="5040" w:hanging="360"/>
      </w:pPr>
      <w:rPr>
        <w:rFonts w:ascii="Wingdings" w:hAnsi="Wingdings" w:hint="default"/>
      </w:rPr>
    </w:lvl>
    <w:lvl w:ilvl="3" w:tplc="2C0A0001" w:tentative="1">
      <w:start w:val="1"/>
      <w:numFmt w:val="bullet"/>
      <w:lvlText w:val=""/>
      <w:lvlJc w:val="left"/>
      <w:pPr>
        <w:ind w:left="5760" w:hanging="360"/>
      </w:pPr>
      <w:rPr>
        <w:rFonts w:ascii="Symbol" w:hAnsi="Symbol" w:hint="default"/>
      </w:rPr>
    </w:lvl>
    <w:lvl w:ilvl="4" w:tplc="2C0A0003" w:tentative="1">
      <w:start w:val="1"/>
      <w:numFmt w:val="bullet"/>
      <w:lvlText w:val="o"/>
      <w:lvlJc w:val="left"/>
      <w:pPr>
        <w:ind w:left="6480" w:hanging="360"/>
      </w:pPr>
      <w:rPr>
        <w:rFonts w:ascii="Courier New" w:hAnsi="Courier New" w:cs="Courier New" w:hint="default"/>
      </w:rPr>
    </w:lvl>
    <w:lvl w:ilvl="5" w:tplc="2C0A0005" w:tentative="1">
      <w:start w:val="1"/>
      <w:numFmt w:val="bullet"/>
      <w:lvlText w:val=""/>
      <w:lvlJc w:val="left"/>
      <w:pPr>
        <w:ind w:left="7200" w:hanging="360"/>
      </w:pPr>
      <w:rPr>
        <w:rFonts w:ascii="Wingdings" w:hAnsi="Wingdings" w:hint="default"/>
      </w:rPr>
    </w:lvl>
    <w:lvl w:ilvl="6" w:tplc="2C0A0001" w:tentative="1">
      <w:start w:val="1"/>
      <w:numFmt w:val="bullet"/>
      <w:lvlText w:val=""/>
      <w:lvlJc w:val="left"/>
      <w:pPr>
        <w:ind w:left="7920" w:hanging="360"/>
      </w:pPr>
      <w:rPr>
        <w:rFonts w:ascii="Symbol" w:hAnsi="Symbol" w:hint="default"/>
      </w:rPr>
    </w:lvl>
    <w:lvl w:ilvl="7" w:tplc="2C0A0003" w:tentative="1">
      <w:start w:val="1"/>
      <w:numFmt w:val="bullet"/>
      <w:lvlText w:val="o"/>
      <w:lvlJc w:val="left"/>
      <w:pPr>
        <w:ind w:left="8640" w:hanging="360"/>
      </w:pPr>
      <w:rPr>
        <w:rFonts w:ascii="Courier New" w:hAnsi="Courier New" w:cs="Courier New" w:hint="default"/>
      </w:rPr>
    </w:lvl>
    <w:lvl w:ilvl="8" w:tplc="2C0A0005" w:tentative="1">
      <w:start w:val="1"/>
      <w:numFmt w:val="bullet"/>
      <w:lvlText w:val=""/>
      <w:lvlJc w:val="left"/>
      <w:pPr>
        <w:ind w:left="9360" w:hanging="360"/>
      </w:pPr>
      <w:rPr>
        <w:rFonts w:ascii="Wingdings" w:hAnsi="Wingdings" w:hint="default"/>
      </w:rPr>
    </w:lvl>
  </w:abstractNum>
  <w:abstractNum w:abstractNumId="7">
    <w:nsid w:val="629F2898"/>
    <w:multiLevelType w:val="hybridMultilevel"/>
    <w:tmpl w:val="F6386466"/>
    <w:lvl w:ilvl="0" w:tplc="2C0A0001">
      <w:start w:val="1"/>
      <w:numFmt w:val="bullet"/>
      <w:lvlText w:val=""/>
      <w:lvlJc w:val="left"/>
      <w:pPr>
        <w:ind w:left="2128" w:hanging="360"/>
      </w:pPr>
      <w:rPr>
        <w:rFonts w:ascii="Symbol" w:hAnsi="Symbol" w:hint="default"/>
      </w:rPr>
    </w:lvl>
    <w:lvl w:ilvl="1" w:tplc="2C0A0003" w:tentative="1">
      <w:start w:val="1"/>
      <w:numFmt w:val="bullet"/>
      <w:lvlText w:val="o"/>
      <w:lvlJc w:val="left"/>
      <w:pPr>
        <w:ind w:left="2848" w:hanging="360"/>
      </w:pPr>
      <w:rPr>
        <w:rFonts w:ascii="Courier New" w:hAnsi="Courier New" w:cs="Courier New" w:hint="default"/>
      </w:rPr>
    </w:lvl>
    <w:lvl w:ilvl="2" w:tplc="2C0A0005" w:tentative="1">
      <w:start w:val="1"/>
      <w:numFmt w:val="bullet"/>
      <w:lvlText w:val=""/>
      <w:lvlJc w:val="left"/>
      <w:pPr>
        <w:ind w:left="3568" w:hanging="360"/>
      </w:pPr>
      <w:rPr>
        <w:rFonts w:ascii="Wingdings" w:hAnsi="Wingdings" w:hint="default"/>
      </w:rPr>
    </w:lvl>
    <w:lvl w:ilvl="3" w:tplc="2C0A0001" w:tentative="1">
      <w:start w:val="1"/>
      <w:numFmt w:val="bullet"/>
      <w:lvlText w:val=""/>
      <w:lvlJc w:val="left"/>
      <w:pPr>
        <w:ind w:left="4288" w:hanging="360"/>
      </w:pPr>
      <w:rPr>
        <w:rFonts w:ascii="Symbol" w:hAnsi="Symbol" w:hint="default"/>
      </w:rPr>
    </w:lvl>
    <w:lvl w:ilvl="4" w:tplc="2C0A0003" w:tentative="1">
      <w:start w:val="1"/>
      <w:numFmt w:val="bullet"/>
      <w:lvlText w:val="o"/>
      <w:lvlJc w:val="left"/>
      <w:pPr>
        <w:ind w:left="5008" w:hanging="360"/>
      </w:pPr>
      <w:rPr>
        <w:rFonts w:ascii="Courier New" w:hAnsi="Courier New" w:cs="Courier New" w:hint="default"/>
      </w:rPr>
    </w:lvl>
    <w:lvl w:ilvl="5" w:tplc="2C0A0005" w:tentative="1">
      <w:start w:val="1"/>
      <w:numFmt w:val="bullet"/>
      <w:lvlText w:val=""/>
      <w:lvlJc w:val="left"/>
      <w:pPr>
        <w:ind w:left="5728" w:hanging="360"/>
      </w:pPr>
      <w:rPr>
        <w:rFonts w:ascii="Wingdings" w:hAnsi="Wingdings" w:hint="default"/>
      </w:rPr>
    </w:lvl>
    <w:lvl w:ilvl="6" w:tplc="2C0A0001" w:tentative="1">
      <w:start w:val="1"/>
      <w:numFmt w:val="bullet"/>
      <w:lvlText w:val=""/>
      <w:lvlJc w:val="left"/>
      <w:pPr>
        <w:ind w:left="6448" w:hanging="360"/>
      </w:pPr>
      <w:rPr>
        <w:rFonts w:ascii="Symbol" w:hAnsi="Symbol" w:hint="default"/>
      </w:rPr>
    </w:lvl>
    <w:lvl w:ilvl="7" w:tplc="2C0A0003" w:tentative="1">
      <w:start w:val="1"/>
      <w:numFmt w:val="bullet"/>
      <w:lvlText w:val="o"/>
      <w:lvlJc w:val="left"/>
      <w:pPr>
        <w:ind w:left="7168" w:hanging="360"/>
      </w:pPr>
      <w:rPr>
        <w:rFonts w:ascii="Courier New" w:hAnsi="Courier New" w:cs="Courier New" w:hint="default"/>
      </w:rPr>
    </w:lvl>
    <w:lvl w:ilvl="8" w:tplc="2C0A0005" w:tentative="1">
      <w:start w:val="1"/>
      <w:numFmt w:val="bullet"/>
      <w:lvlText w:val=""/>
      <w:lvlJc w:val="left"/>
      <w:pPr>
        <w:ind w:left="7888" w:hanging="360"/>
      </w:pPr>
      <w:rPr>
        <w:rFonts w:ascii="Wingdings" w:hAnsi="Wingdings" w:hint="default"/>
      </w:rPr>
    </w:lvl>
  </w:abstractNum>
  <w:abstractNum w:abstractNumId="8">
    <w:nsid w:val="76765240"/>
    <w:multiLevelType w:val="hybridMultilevel"/>
    <w:tmpl w:val="3692ED60"/>
    <w:lvl w:ilvl="0" w:tplc="2C0A0001">
      <w:start w:val="1"/>
      <w:numFmt w:val="bullet"/>
      <w:lvlText w:val=""/>
      <w:lvlJc w:val="left"/>
      <w:pPr>
        <w:ind w:left="3536" w:hanging="360"/>
      </w:pPr>
      <w:rPr>
        <w:rFonts w:ascii="Symbol" w:hAnsi="Symbol" w:hint="default"/>
      </w:rPr>
    </w:lvl>
    <w:lvl w:ilvl="1" w:tplc="2C0A0003" w:tentative="1">
      <w:start w:val="1"/>
      <w:numFmt w:val="bullet"/>
      <w:lvlText w:val="o"/>
      <w:lvlJc w:val="left"/>
      <w:pPr>
        <w:ind w:left="4256" w:hanging="360"/>
      </w:pPr>
      <w:rPr>
        <w:rFonts w:ascii="Courier New" w:hAnsi="Courier New" w:cs="Courier New" w:hint="default"/>
      </w:rPr>
    </w:lvl>
    <w:lvl w:ilvl="2" w:tplc="2C0A0005" w:tentative="1">
      <w:start w:val="1"/>
      <w:numFmt w:val="bullet"/>
      <w:lvlText w:val=""/>
      <w:lvlJc w:val="left"/>
      <w:pPr>
        <w:ind w:left="4976" w:hanging="360"/>
      </w:pPr>
      <w:rPr>
        <w:rFonts w:ascii="Wingdings" w:hAnsi="Wingdings" w:hint="default"/>
      </w:rPr>
    </w:lvl>
    <w:lvl w:ilvl="3" w:tplc="2C0A0001" w:tentative="1">
      <w:start w:val="1"/>
      <w:numFmt w:val="bullet"/>
      <w:lvlText w:val=""/>
      <w:lvlJc w:val="left"/>
      <w:pPr>
        <w:ind w:left="5696" w:hanging="360"/>
      </w:pPr>
      <w:rPr>
        <w:rFonts w:ascii="Symbol" w:hAnsi="Symbol" w:hint="default"/>
      </w:rPr>
    </w:lvl>
    <w:lvl w:ilvl="4" w:tplc="2C0A0003" w:tentative="1">
      <w:start w:val="1"/>
      <w:numFmt w:val="bullet"/>
      <w:lvlText w:val="o"/>
      <w:lvlJc w:val="left"/>
      <w:pPr>
        <w:ind w:left="6416" w:hanging="360"/>
      </w:pPr>
      <w:rPr>
        <w:rFonts w:ascii="Courier New" w:hAnsi="Courier New" w:cs="Courier New" w:hint="default"/>
      </w:rPr>
    </w:lvl>
    <w:lvl w:ilvl="5" w:tplc="2C0A0005" w:tentative="1">
      <w:start w:val="1"/>
      <w:numFmt w:val="bullet"/>
      <w:lvlText w:val=""/>
      <w:lvlJc w:val="left"/>
      <w:pPr>
        <w:ind w:left="7136" w:hanging="360"/>
      </w:pPr>
      <w:rPr>
        <w:rFonts w:ascii="Wingdings" w:hAnsi="Wingdings" w:hint="default"/>
      </w:rPr>
    </w:lvl>
    <w:lvl w:ilvl="6" w:tplc="2C0A0001" w:tentative="1">
      <w:start w:val="1"/>
      <w:numFmt w:val="bullet"/>
      <w:lvlText w:val=""/>
      <w:lvlJc w:val="left"/>
      <w:pPr>
        <w:ind w:left="7856" w:hanging="360"/>
      </w:pPr>
      <w:rPr>
        <w:rFonts w:ascii="Symbol" w:hAnsi="Symbol" w:hint="default"/>
      </w:rPr>
    </w:lvl>
    <w:lvl w:ilvl="7" w:tplc="2C0A0003" w:tentative="1">
      <w:start w:val="1"/>
      <w:numFmt w:val="bullet"/>
      <w:lvlText w:val="o"/>
      <w:lvlJc w:val="left"/>
      <w:pPr>
        <w:ind w:left="8576" w:hanging="360"/>
      </w:pPr>
      <w:rPr>
        <w:rFonts w:ascii="Courier New" w:hAnsi="Courier New" w:cs="Courier New" w:hint="default"/>
      </w:rPr>
    </w:lvl>
    <w:lvl w:ilvl="8" w:tplc="2C0A0005" w:tentative="1">
      <w:start w:val="1"/>
      <w:numFmt w:val="bullet"/>
      <w:lvlText w:val=""/>
      <w:lvlJc w:val="left"/>
      <w:pPr>
        <w:ind w:left="9296" w:hanging="360"/>
      </w:pPr>
      <w:rPr>
        <w:rFonts w:ascii="Wingdings" w:hAnsi="Wingdings" w:hint="default"/>
      </w:rPr>
    </w:lvl>
  </w:abstractNum>
  <w:num w:numId="1">
    <w:abstractNumId w:val="8"/>
  </w:num>
  <w:num w:numId="2">
    <w:abstractNumId w:val="5"/>
  </w:num>
  <w:num w:numId="3">
    <w:abstractNumId w:val="0"/>
  </w:num>
  <w:num w:numId="4">
    <w:abstractNumId w:val="4"/>
  </w:num>
  <w:num w:numId="5">
    <w:abstractNumId w:val="7"/>
  </w:num>
  <w:num w:numId="6">
    <w:abstractNumId w:val="6"/>
  </w:num>
  <w:num w:numId="7">
    <w:abstractNumId w:val="2"/>
  </w:num>
  <w:num w:numId="8">
    <w:abstractNumId w:val="3"/>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5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2151"/>
    <w:rsid w:val="00015906"/>
    <w:rsid w:val="00037ED7"/>
    <w:rsid w:val="00041A7E"/>
    <w:rsid w:val="00066BB6"/>
    <w:rsid w:val="000A0A64"/>
    <w:rsid w:val="000A5A3A"/>
    <w:rsid w:val="000B5FC5"/>
    <w:rsid w:val="000C00EE"/>
    <w:rsid w:val="000F4947"/>
    <w:rsid w:val="001213D4"/>
    <w:rsid w:val="0015045D"/>
    <w:rsid w:val="00157BDA"/>
    <w:rsid w:val="00183D40"/>
    <w:rsid w:val="001A4C86"/>
    <w:rsid w:val="001C66F7"/>
    <w:rsid w:val="001F1A38"/>
    <w:rsid w:val="001F2151"/>
    <w:rsid w:val="00210CEA"/>
    <w:rsid w:val="002305DA"/>
    <w:rsid w:val="00250B97"/>
    <w:rsid w:val="00253C64"/>
    <w:rsid w:val="00274EE3"/>
    <w:rsid w:val="003312B8"/>
    <w:rsid w:val="00342CE7"/>
    <w:rsid w:val="00362016"/>
    <w:rsid w:val="00381262"/>
    <w:rsid w:val="003B0644"/>
    <w:rsid w:val="003D3956"/>
    <w:rsid w:val="0040456A"/>
    <w:rsid w:val="00417E01"/>
    <w:rsid w:val="00450396"/>
    <w:rsid w:val="00457759"/>
    <w:rsid w:val="00494EDC"/>
    <w:rsid w:val="004B2543"/>
    <w:rsid w:val="004C7BA7"/>
    <w:rsid w:val="004D11A0"/>
    <w:rsid w:val="004D3A90"/>
    <w:rsid w:val="004D5B05"/>
    <w:rsid w:val="004D6966"/>
    <w:rsid w:val="004E05EA"/>
    <w:rsid w:val="004F4431"/>
    <w:rsid w:val="004F7F4F"/>
    <w:rsid w:val="00572C24"/>
    <w:rsid w:val="00573B78"/>
    <w:rsid w:val="005C6440"/>
    <w:rsid w:val="005E34D2"/>
    <w:rsid w:val="006044EB"/>
    <w:rsid w:val="00625436"/>
    <w:rsid w:val="00640723"/>
    <w:rsid w:val="00644D5B"/>
    <w:rsid w:val="0065244B"/>
    <w:rsid w:val="006647BC"/>
    <w:rsid w:val="006A2BCC"/>
    <w:rsid w:val="006B7A16"/>
    <w:rsid w:val="006F1E8B"/>
    <w:rsid w:val="00707FD9"/>
    <w:rsid w:val="00715983"/>
    <w:rsid w:val="00722343"/>
    <w:rsid w:val="00733220"/>
    <w:rsid w:val="007C73C8"/>
    <w:rsid w:val="007F59CD"/>
    <w:rsid w:val="0081506F"/>
    <w:rsid w:val="008162CF"/>
    <w:rsid w:val="00833511"/>
    <w:rsid w:val="00862509"/>
    <w:rsid w:val="00867ACF"/>
    <w:rsid w:val="008744A6"/>
    <w:rsid w:val="008C066A"/>
    <w:rsid w:val="008F7311"/>
    <w:rsid w:val="00911F44"/>
    <w:rsid w:val="009235A0"/>
    <w:rsid w:val="00997A58"/>
    <w:rsid w:val="009A0655"/>
    <w:rsid w:val="009D1A43"/>
    <w:rsid w:val="00A02E1C"/>
    <w:rsid w:val="00A06DA8"/>
    <w:rsid w:val="00A10971"/>
    <w:rsid w:val="00A30E37"/>
    <w:rsid w:val="00A40048"/>
    <w:rsid w:val="00A40262"/>
    <w:rsid w:val="00AC54F9"/>
    <w:rsid w:val="00AC5C71"/>
    <w:rsid w:val="00AD692A"/>
    <w:rsid w:val="00B03B22"/>
    <w:rsid w:val="00B72D95"/>
    <w:rsid w:val="00B72DF6"/>
    <w:rsid w:val="00B826D2"/>
    <w:rsid w:val="00B97120"/>
    <w:rsid w:val="00BA185A"/>
    <w:rsid w:val="00BA589F"/>
    <w:rsid w:val="00BB2EE4"/>
    <w:rsid w:val="00BB306C"/>
    <w:rsid w:val="00BB3E56"/>
    <w:rsid w:val="00BC52A9"/>
    <w:rsid w:val="00C15D1B"/>
    <w:rsid w:val="00C327DA"/>
    <w:rsid w:val="00C46B10"/>
    <w:rsid w:val="00C651A7"/>
    <w:rsid w:val="00CC3DA7"/>
    <w:rsid w:val="00CE45BB"/>
    <w:rsid w:val="00CF78AF"/>
    <w:rsid w:val="00D06F25"/>
    <w:rsid w:val="00D2285C"/>
    <w:rsid w:val="00D33832"/>
    <w:rsid w:val="00D35268"/>
    <w:rsid w:val="00D67C3B"/>
    <w:rsid w:val="00DB1E11"/>
    <w:rsid w:val="00DB2A24"/>
    <w:rsid w:val="00DB5FB1"/>
    <w:rsid w:val="00DC3F52"/>
    <w:rsid w:val="00DC6E2B"/>
    <w:rsid w:val="00DF358E"/>
    <w:rsid w:val="00DF42AF"/>
    <w:rsid w:val="00E07D2A"/>
    <w:rsid w:val="00E421DA"/>
    <w:rsid w:val="00E460B9"/>
    <w:rsid w:val="00E4754C"/>
    <w:rsid w:val="00E61A14"/>
    <w:rsid w:val="00E808F9"/>
    <w:rsid w:val="00EA0974"/>
    <w:rsid w:val="00EC744F"/>
    <w:rsid w:val="00ED5EE1"/>
    <w:rsid w:val="00ED7D48"/>
    <w:rsid w:val="00EF65D3"/>
    <w:rsid w:val="00F13FB5"/>
    <w:rsid w:val="00F228B3"/>
    <w:rsid w:val="00F8243A"/>
    <w:rsid w:val="00F85386"/>
    <w:rsid w:val="00F87504"/>
    <w:rsid w:val="00FD651C"/>
    <w:rsid w:val="00FF62CE"/>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2151"/>
    <w:pPr>
      <w:spacing w:after="0" w:line="240" w:lineRule="atLeast"/>
      <w:jc w:val="center"/>
    </w:pPr>
    <w:rPr>
      <w:rFonts w:ascii="Times New Roman" w:eastAsia="Times New Roman" w:hAnsi="Times New Roman" w:cs="Times New Roman"/>
      <w:bCs/>
      <w:spacing w:val="-3"/>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F78AF"/>
    <w:pPr>
      <w:tabs>
        <w:tab w:val="center" w:pos="4252"/>
        <w:tab w:val="right" w:pos="8504"/>
      </w:tabs>
      <w:spacing w:line="240" w:lineRule="auto"/>
    </w:pPr>
  </w:style>
  <w:style w:type="character" w:customStyle="1" w:styleId="EncabezadoCar">
    <w:name w:val="Encabezado Car"/>
    <w:basedOn w:val="Fuentedeprrafopredeter"/>
    <w:link w:val="Encabezado"/>
    <w:uiPriority w:val="99"/>
    <w:rsid w:val="00CF78AF"/>
    <w:rPr>
      <w:rFonts w:ascii="Times New Roman" w:eastAsia="Times New Roman" w:hAnsi="Times New Roman" w:cs="Times New Roman"/>
      <w:bCs/>
      <w:spacing w:val="-3"/>
      <w:sz w:val="24"/>
      <w:szCs w:val="24"/>
      <w:lang w:val="es-ES" w:eastAsia="es-ES"/>
    </w:rPr>
  </w:style>
  <w:style w:type="paragraph" w:styleId="Piedepgina">
    <w:name w:val="footer"/>
    <w:basedOn w:val="Normal"/>
    <w:link w:val="PiedepginaCar"/>
    <w:uiPriority w:val="99"/>
    <w:unhideWhenUsed/>
    <w:rsid w:val="00CF78AF"/>
    <w:pPr>
      <w:tabs>
        <w:tab w:val="center" w:pos="4252"/>
        <w:tab w:val="right" w:pos="8504"/>
      </w:tabs>
      <w:spacing w:line="240" w:lineRule="auto"/>
    </w:pPr>
  </w:style>
  <w:style w:type="character" w:customStyle="1" w:styleId="PiedepginaCar">
    <w:name w:val="Pie de página Car"/>
    <w:basedOn w:val="Fuentedeprrafopredeter"/>
    <w:link w:val="Piedepgina"/>
    <w:uiPriority w:val="99"/>
    <w:rsid w:val="00CF78AF"/>
    <w:rPr>
      <w:rFonts w:ascii="Times New Roman" w:eastAsia="Times New Roman" w:hAnsi="Times New Roman" w:cs="Times New Roman"/>
      <w:bCs/>
      <w:spacing w:val="-3"/>
      <w:sz w:val="24"/>
      <w:szCs w:val="24"/>
      <w:lang w:val="es-ES" w:eastAsia="es-ES"/>
    </w:rPr>
  </w:style>
  <w:style w:type="paragraph" w:styleId="Textodeglobo">
    <w:name w:val="Balloon Text"/>
    <w:basedOn w:val="Normal"/>
    <w:link w:val="TextodegloboCar"/>
    <w:uiPriority w:val="99"/>
    <w:semiHidden/>
    <w:unhideWhenUsed/>
    <w:rsid w:val="00CF78AF"/>
    <w:pPr>
      <w:spacing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F78AF"/>
    <w:rPr>
      <w:rFonts w:ascii="Tahoma" w:eastAsia="Times New Roman" w:hAnsi="Tahoma" w:cs="Tahoma"/>
      <w:bCs/>
      <w:spacing w:val="-3"/>
      <w:sz w:val="16"/>
      <w:szCs w:val="16"/>
      <w:lang w:val="es-ES" w:eastAsia="es-ES"/>
    </w:rPr>
  </w:style>
  <w:style w:type="paragraph" w:styleId="Textonotapie">
    <w:name w:val="footnote text"/>
    <w:basedOn w:val="Normal"/>
    <w:link w:val="TextonotapieCar"/>
    <w:uiPriority w:val="99"/>
    <w:unhideWhenUsed/>
    <w:rsid w:val="00CF78AF"/>
    <w:pPr>
      <w:spacing w:line="240" w:lineRule="auto"/>
    </w:pPr>
    <w:rPr>
      <w:sz w:val="20"/>
      <w:szCs w:val="20"/>
    </w:rPr>
  </w:style>
  <w:style w:type="character" w:customStyle="1" w:styleId="TextonotapieCar">
    <w:name w:val="Texto nota pie Car"/>
    <w:basedOn w:val="Fuentedeprrafopredeter"/>
    <w:link w:val="Textonotapie"/>
    <w:uiPriority w:val="99"/>
    <w:rsid w:val="00CF78AF"/>
    <w:rPr>
      <w:rFonts w:ascii="Times New Roman" w:eastAsia="Times New Roman" w:hAnsi="Times New Roman" w:cs="Times New Roman"/>
      <w:bCs/>
      <w:spacing w:val="-3"/>
      <w:sz w:val="20"/>
      <w:szCs w:val="20"/>
      <w:lang w:val="es-ES" w:eastAsia="es-ES"/>
    </w:rPr>
  </w:style>
  <w:style w:type="character" w:styleId="Refdenotaalpie">
    <w:name w:val="footnote reference"/>
    <w:basedOn w:val="Fuentedeprrafopredeter"/>
    <w:uiPriority w:val="99"/>
    <w:semiHidden/>
    <w:unhideWhenUsed/>
    <w:rsid w:val="00CF78AF"/>
    <w:rPr>
      <w:vertAlign w:val="superscript"/>
    </w:rPr>
  </w:style>
  <w:style w:type="paragraph" w:styleId="Prrafodelista">
    <w:name w:val="List Paragraph"/>
    <w:basedOn w:val="Normal"/>
    <w:uiPriority w:val="34"/>
    <w:qFormat/>
    <w:rsid w:val="00C15D1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2151"/>
    <w:pPr>
      <w:spacing w:after="0" w:line="240" w:lineRule="atLeast"/>
      <w:jc w:val="center"/>
    </w:pPr>
    <w:rPr>
      <w:rFonts w:ascii="Times New Roman" w:eastAsia="Times New Roman" w:hAnsi="Times New Roman" w:cs="Times New Roman"/>
      <w:bCs/>
      <w:spacing w:val="-3"/>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F78AF"/>
    <w:pPr>
      <w:tabs>
        <w:tab w:val="center" w:pos="4252"/>
        <w:tab w:val="right" w:pos="8504"/>
      </w:tabs>
      <w:spacing w:line="240" w:lineRule="auto"/>
    </w:pPr>
  </w:style>
  <w:style w:type="character" w:customStyle="1" w:styleId="EncabezadoCar">
    <w:name w:val="Encabezado Car"/>
    <w:basedOn w:val="Fuentedeprrafopredeter"/>
    <w:link w:val="Encabezado"/>
    <w:uiPriority w:val="99"/>
    <w:rsid w:val="00CF78AF"/>
    <w:rPr>
      <w:rFonts w:ascii="Times New Roman" w:eastAsia="Times New Roman" w:hAnsi="Times New Roman" w:cs="Times New Roman"/>
      <w:bCs/>
      <w:spacing w:val="-3"/>
      <w:sz w:val="24"/>
      <w:szCs w:val="24"/>
      <w:lang w:val="es-ES" w:eastAsia="es-ES"/>
    </w:rPr>
  </w:style>
  <w:style w:type="paragraph" w:styleId="Piedepgina">
    <w:name w:val="footer"/>
    <w:basedOn w:val="Normal"/>
    <w:link w:val="PiedepginaCar"/>
    <w:uiPriority w:val="99"/>
    <w:unhideWhenUsed/>
    <w:rsid w:val="00CF78AF"/>
    <w:pPr>
      <w:tabs>
        <w:tab w:val="center" w:pos="4252"/>
        <w:tab w:val="right" w:pos="8504"/>
      </w:tabs>
      <w:spacing w:line="240" w:lineRule="auto"/>
    </w:pPr>
  </w:style>
  <w:style w:type="character" w:customStyle="1" w:styleId="PiedepginaCar">
    <w:name w:val="Pie de página Car"/>
    <w:basedOn w:val="Fuentedeprrafopredeter"/>
    <w:link w:val="Piedepgina"/>
    <w:uiPriority w:val="99"/>
    <w:rsid w:val="00CF78AF"/>
    <w:rPr>
      <w:rFonts w:ascii="Times New Roman" w:eastAsia="Times New Roman" w:hAnsi="Times New Roman" w:cs="Times New Roman"/>
      <w:bCs/>
      <w:spacing w:val="-3"/>
      <w:sz w:val="24"/>
      <w:szCs w:val="24"/>
      <w:lang w:val="es-ES" w:eastAsia="es-ES"/>
    </w:rPr>
  </w:style>
  <w:style w:type="paragraph" w:styleId="Textodeglobo">
    <w:name w:val="Balloon Text"/>
    <w:basedOn w:val="Normal"/>
    <w:link w:val="TextodegloboCar"/>
    <w:uiPriority w:val="99"/>
    <w:semiHidden/>
    <w:unhideWhenUsed/>
    <w:rsid w:val="00CF78AF"/>
    <w:pPr>
      <w:spacing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F78AF"/>
    <w:rPr>
      <w:rFonts w:ascii="Tahoma" w:eastAsia="Times New Roman" w:hAnsi="Tahoma" w:cs="Tahoma"/>
      <w:bCs/>
      <w:spacing w:val="-3"/>
      <w:sz w:val="16"/>
      <w:szCs w:val="16"/>
      <w:lang w:val="es-ES" w:eastAsia="es-ES"/>
    </w:rPr>
  </w:style>
  <w:style w:type="paragraph" w:styleId="Textonotapie">
    <w:name w:val="footnote text"/>
    <w:basedOn w:val="Normal"/>
    <w:link w:val="TextonotapieCar"/>
    <w:uiPriority w:val="99"/>
    <w:unhideWhenUsed/>
    <w:rsid w:val="00CF78AF"/>
    <w:pPr>
      <w:spacing w:line="240" w:lineRule="auto"/>
    </w:pPr>
    <w:rPr>
      <w:sz w:val="20"/>
      <w:szCs w:val="20"/>
    </w:rPr>
  </w:style>
  <w:style w:type="character" w:customStyle="1" w:styleId="TextonotapieCar">
    <w:name w:val="Texto nota pie Car"/>
    <w:basedOn w:val="Fuentedeprrafopredeter"/>
    <w:link w:val="Textonotapie"/>
    <w:uiPriority w:val="99"/>
    <w:rsid w:val="00CF78AF"/>
    <w:rPr>
      <w:rFonts w:ascii="Times New Roman" w:eastAsia="Times New Roman" w:hAnsi="Times New Roman" w:cs="Times New Roman"/>
      <w:bCs/>
      <w:spacing w:val="-3"/>
      <w:sz w:val="20"/>
      <w:szCs w:val="20"/>
      <w:lang w:val="es-ES" w:eastAsia="es-ES"/>
    </w:rPr>
  </w:style>
  <w:style w:type="character" w:styleId="Refdenotaalpie">
    <w:name w:val="footnote reference"/>
    <w:basedOn w:val="Fuentedeprrafopredeter"/>
    <w:uiPriority w:val="99"/>
    <w:semiHidden/>
    <w:unhideWhenUsed/>
    <w:rsid w:val="00CF78AF"/>
    <w:rPr>
      <w:vertAlign w:val="superscript"/>
    </w:rPr>
  </w:style>
  <w:style w:type="paragraph" w:styleId="Prrafodelista">
    <w:name w:val="List Paragraph"/>
    <w:basedOn w:val="Normal"/>
    <w:uiPriority w:val="34"/>
    <w:qFormat/>
    <w:rsid w:val="00C15D1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glossaryDocument" Target="glossary/document.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977E339FAAAD4BD295E82A86E7CE594A"/>
        <w:category>
          <w:name w:val="General"/>
          <w:gallery w:val="placeholder"/>
        </w:category>
        <w:types>
          <w:type w:val="bbPlcHdr"/>
        </w:types>
        <w:behaviors>
          <w:behavior w:val="content"/>
        </w:behaviors>
        <w:guid w:val="{6F9C1835-3948-4496-B9C9-49B25D0230D2}"/>
      </w:docPartPr>
      <w:docPartBody>
        <w:p w:rsidR="003F513B" w:rsidRDefault="00B06651" w:rsidP="00B06651">
          <w:pPr>
            <w:pStyle w:val="977E339FAAAD4BD295E82A86E7CE594A"/>
          </w:pPr>
          <w:r>
            <w:rPr>
              <w:lang w:val="es-ES"/>
            </w:rPr>
            <w:t>[Escriba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nstantia">
    <w:panose1 w:val="02030602050306030303"/>
    <w:charset w:val="00"/>
    <w:family w:val="roman"/>
    <w:pitch w:val="variable"/>
    <w:sig w:usb0="A00002EF" w:usb1="4000204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2"/>
  </w:compat>
  <w:rsids>
    <w:rsidRoot w:val="00B06651"/>
    <w:rsid w:val="00236A3F"/>
    <w:rsid w:val="003F513B"/>
    <w:rsid w:val="00546FA0"/>
    <w:rsid w:val="007109D2"/>
    <w:rsid w:val="00883A6D"/>
    <w:rsid w:val="00A47559"/>
    <w:rsid w:val="00B06651"/>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AR" w:eastAsia="es-A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7559"/>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977E339FAAAD4BD295E82A86E7CE594A">
    <w:name w:val="977E339FAAAD4BD295E82A86E7CE594A"/>
    <w:rsid w:val="00B06651"/>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AR" w:eastAsia="es-A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A20413-EC29-41DD-843C-34ED22BC1E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2657</Words>
  <Characters>14615</Characters>
  <Application>Microsoft Office Word</Application>
  <DocSecurity>0</DocSecurity>
  <Lines>121</Lines>
  <Paragraphs>34</Paragraphs>
  <ScaleCrop>false</ScaleCrop>
  <HeadingPairs>
    <vt:vector size="2" baseType="variant">
      <vt:variant>
        <vt:lpstr>Título</vt:lpstr>
      </vt:variant>
      <vt:variant>
        <vt:i4>1</vt:i4>
      </vt:variant>
    </vt:vector>
  </HeadingPairs>
  <TitlesOfParts>
    <vt:vector size="1" baseType="lpstr">
      <vt:lpstr/>
    </vt:vector>
  </TitlesOfParts>
  <Company>Windows XP Titan Ultimate Edition</Company>
  <LinksUpToDate>false</LinksUpToDate>
  <CharactersWithSpaces>17238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Alejandro</dc:creator>
  <cp:lastModifiedBy> </cp:lastModifiedBy>
  <cp:revision>2</cp:revision>
  <dcterms:created xsi:type="dcterms:W3CDTF">2017-09-18T11:17:00Z</dcterms:created>
  <dcterms:modified xsi:type="dcterms:W3CDTF">2017-09-18T11:17:00Z</dcterms:modified>
</cp:coreProperties>
</file>