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39" w:rsidRDefault="00DD6139" w:rsidP="00DD6139">
      <w:pPr>
        <w:spacing w:before="100" w:beforeAutospacing="1" w:after="100" w:afterAutospacing="1" w:line="360" w:lineRule="auto"/>
        <w:jc w:val="center"/>
        <w:rPr>
          <w:rFonts w:ascii="Verdana" w:eastAsia="Times New Roman" w:hAnsi="Verdana" w:cs="Arial"/>
          <w:b/>
          <w:bCs/>
          <w:sz w:val="24"/>
          <w:szCs w:val="24"/>
          <w:u w:val="single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4"/>
          <w:szCs w:val="24"/>
          <w:u w:val="single"/>
          <w:lang w:eastAsia="es-AR"/>
        </w:rPr>
        <w:t>CONCURSO INTERNO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4"/>
          <w:szCs w:val="24"/>
          <w:u w:val="single"/>
          <w:lang w:eastAsia="es-AR"/>
        </w:rPr>
        <w:t>DE ANTECEDENTES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r w:rsidRPr="00DD6139">
        <w:rPr>
          <w:rFonts w:ascii="Verdana" w:eastAsia="Times New Roman" w:hAnsi="Verdana" w:cs="Arial"/>
          <w:b/>
          <w:bCs/>
          <w:sz w:val="24"/>
          <w:szCs w:val="24"/>
          <w:u w:val="single"/>
          <w:lang w:eastAsia="es-AR"/>
        </w:rPr>
        <w:t>PERSONAL AUXILIAR MAYOR CLASE 18: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4"/>
          <w:szCs w:val="24"/>
          <w:u w:val="single"/>
          <w:lang w:eastAsia="es-AR"/>
        </w:rPr>
        <w:t>COORDINADOR EN HIGIENE Y SEGURIDAD</w:t>
      </w:r>
    </w:p>
    <w:bookmarkEnd w:id="0"/>
    <w:p w:rsidR="00DD6139" w:rsidRPr="00DD6139" w:rsidRDefault="00DD6139" w:rsidP="00DD61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4"/>
          <w:szCs w:val="24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4"/>
          <w:szCs w:val="24"/>
          <w:u w:val="single"/>
          <w:lang w:eastAsia="es-AR"/>
        </w:rPr>
        <w:t>PRIMERA CIRCUNSCRIPCIÓN JUDICIAL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4"/>
          <w:szCs w:val="24"/>
          <w:u w:val="single"/>
          <w:lang w:eastAsia="es-AR"/>
        </w:rPr>
        <w:t>SUPREMA CORTE DE JUSTICIA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u w:val="single"/>
          <w:lang w:eastAsia="es-AR"/>
        </w:rPr>
        <w:t xml:space="preserve"> PODER JUDICIAL DE MENDOZA  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u w:val="single"/>
          <w:lang w:eastAsia="es-AR"/>
        </w:rPr>
        <w:t>1- Bases: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lang w:eastAsia="es-AR"/>
        </w:rPr>
        <w:t>Requisitos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 xml:space="preserve">Los interesados deberán presentar </w:t>
      </w:r>
      <w:proofErr w:type="spellStart"/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Curriculum</w:t>
      </w:r>
      <w:proofErr w:type="spellEnd"/>
      <w:r w:rsidRPr="00DD6139">
        <w:rPr>
          <w:rFonts w:ascii="Verdana" w:eastAsia="Times New Roman" w:hAnsi="Verdana" w:cs="Arial"/>
          <w:sz w:val="20"/>
          <w:szCs w:val="20"/>
          <w:lang w:eastAsia="es-AR"/>
        </w:rPr>
        <w:t xml:space="preserve"> Vitae conteniendo la siguiente información: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Symbol" w:eastAsia="Symbol" w:hAnsi="Symbol" w:cs="Symbol"/>
          <w:sz w:val="20"/>
          <w:szCs w:val="20"/>
          <w:lang w:eastAsia="es-AR"/>
        </w:rPr>
        <w:t></w:t>
      </w:r>
      <w:r w:rsidRPr="00DD6139">
        <w:rPr>
          <w:rFonts w:ascii="Times New Roman" w:eastAsia="Symbol" w:hAnsi="Times New Roman" w:cs="Times New Roman"/>
          <w:sz w:val="14"/>
          <w:szCs w:val="14"/>
          <w:lang w:eastAsia="es-AR"/>
        </w:rPr>
        <w:t xml:space="preserve">        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Datos personales que incluyan: Apellido y Nombre, D.N.I., domicilio real, N° de teléfono y/o celular, estado civil.-</w:t>
      </w:r>
    </w:p>
    <w:p w:rsidR="00DD6139" w:rsidRPr="00DD6139" w:rsidRDefault="00DD6139" w:rsidP="00DD613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Symbol" w:eastAsia="Symbol" w:hAnsi="Symbol" w:cs="Symbol"/>
          <w:sz w:val="20"/>
          <w:szCs w:val="20"/>
          <w:lang w:eastAsia="es-AR"/>
        </w:rPr>
        <w:t></w:t>
      </w:r>
      <w:r w:rsidRPr="00DD6139">
        <w:rPr>
          <w:rFonts w:ascii="Times New Roman" w:eastAsia="Symbol" w:hAnsi="Times New Roman" w:cs="Times New Roman"/>
          <w:sz w:val="14"/>
          <w:szCs w:val="14"/>
          <w:lang w:eastAsia="es-AR"/>
        </w:rPr>
        <w:t xml:space="preserve">        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Estudios cursados: deberá presentar comprobante del/los títulos que posea, con indicación de fechas y entidades otorgantes.-</w:t>
      </w:r>
    </w:p>
    <w:p w:rsidR="00DD6139" w:rsidRPr="00DD6139" w:rsidRDefault="00DD6139" w:rsidP="00DD613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Symbol" w:eastAsia="Symbol" w:hAnsi="Symbol" w:cs="Symbol"/>
          <w:sz w:val="20"/>
          <w:szCs w:val="20"/>
          <w:lang w:eastAsia="es-AR"/>
        </w:rPr>
        <w:t></w:t>
      </w:r>
      <w:r w:rsidRPr="00DD6139">
        <w:rPr>
          <w:rFonts w:ascii="Times New Roman" w:eastAsia="Symbol" w:hAnsi="Times New Roman" w:cs="Times New Roman"/>
          <w:sz w:val="14"/>
          <w:szCs w:val="14"/>
          <w:lang w:eastAsia="es-AR"/>
        </w:rPr>
        <w:t xml:space="preserve">        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Cursos de capacitación: cursos de capacitación realizados, afines al cargo que se concursa, adjuntando fotocopias de las respectivas certificaciones.-</w:t>
      </w:r>
    </w:p>
    <w:p w:rsidR="00DD6139" w:rsidRPr="00DD6139" w:rsidRDefault="00DD6139" w:rsidP="00DD613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Symbol" w:eastAsia="Symbol" w:hAnsi="Symbol" w:cs="Symbol"/>
          <w:sz w:val="20"/>
          <w:szCs w:val="20"/>
          <w:lang w:eastAsia="es-AR"/>
        </w:rPr>
        <w:lastRenderedPageBreak/>
        <w:t></w:t>
      </w:r>
      <w:r w:rsidRPr="00DD6139">
        <w:rPr>
          <w:rFonts w:ascii="Times New Roman" w:eastAsia="Symbol" w:hAnsi="Times New Roman" w:cs="Times New Roman"/>
          <w:sz w:val="14"/>
          <w:szCs w:val="14"/>
          <w:lang w:eastAsia="es-AR"/>
        </w:rPr>
        <w:t xml:space="preserve">        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Detalle de las funciones desempeñadas en el Poder Judicial, con indicación de la naturaleza de las mismas, cantidad de personal a cargo, modo de ingreso, concepto sobre sus actuaciones por parte de sus superiores, etc.-</w:t>
      </w:r>
    </w:p>
    <w:p w:rsidR="00DD6139" w:rsidRPr="00DD6139" w:rsidRDefault="00DD6139" w:rsidP="00DD613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Symbol" w:eastAsia="Symbol" w:hAnsi="Symbol" w:cs="Symbol"/>
          <w:sz w:val="20"/>
          <w:szCs w:val="20"/>
          <w:lang w:eastAsia="es-AR"/>
        </w:rPr>
        <w:t></w:t>
      </w:r>
      <w:r w:rsidRPr="00DD6139">
        <w:rPr>
          <w:rFonts w:ascii="Times New Roman" w:eastAsia="Symbol" w:hAnsi="Times New Roman" w:cs="Times New Roman"/>
          <w:sz w:val="14"/>
          <w:szCs w:val="14"/>
          <w:lang w:eastAsia="es-AR"/>
        </w:rPr>
        <w:t xml:space="preserve">        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Detalle de los antecedentes laborales fuera del Poder Judicial, relacionados con la naturaleza del cargo que se concursa. Se debe adjuntar constancias de dichos desempeños, certificados por sus respectivos empleadores o ex empleadores.-</w:t>
      </w:r>
    </w:p>
    <w:p w:rsidR="00DD6139" w:rsidRPr="00DD6139" w:rsidRDefault="00DD6139" w:rsidP="00DD613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Symbol" w:eastAsia="Symbol" w:hAnsi="Symbol" w:cs="Symbol"/>
          <w:sz w:val="20"/>
          <w:szCs w:val="20"/>
          <w:lang w:eastAsia="es-AR"/>
        </w:rPr>
        <w:t></w:t>
      </w:r>
      <w:r w:rsidRPr="00DD6139">
        <w:rPr>
          <w:rFonts w:ascii="Times New Roman" w:eastAsia="Symbol" w:hAnsi="Times New Roman" w:cs="Times New Roman"/>
          <w:sz w:val="14"/>
          <w:szCs w:val="14"/>
          <w:lang w:eastAsia="es-AR"/>
        </w:rPr>
        <w:t xml:space="preserve">        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Se valorará conocimiento de herramientas informáticas, de programas de procesador de textos y planilla de cálculo, como el Word y Excel.-</w:t>
      </w:r>
    </w:p>
    <w:p w:rsidR="00DD6139" w:rsidRPr="00DD6139" w:rsidRDefault="00DD6139" w:rsidP="00DD613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Symbol" w:eastAsia="Symbol" w:hAnsi="Symbol" w:cs="Symbol"/>
          <w:sz w:val="20"/>
          <w:szCs w:val="20"/>
          <w:lang w:eastAsia="es-AR"/>
        </w:rPr>
        <w:t></w:t>
      </w:r>
      <w:r w:rsidRPr="00DD6139">
        <w:rPr>
          <w:rFonts w:ascii="Times New Roman" w:eastAsia="Symbol" w:hAnsi="Times New Roman" w:cs="Times New Roman"/>
          <w:sz w:val="14"/>
          <w:szCs w:val="14"/>
          <w:lang w:eastAsia="es-AR"/>
        </w:rPr>
        <w:t xml:space="preserve">        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Se deberá tener disponibilidad horaria y disposición a trasladarse dentro de las distintas Circunscripciones.-</w:t>
      </w:r>
    </w:p>
    <w:p w:rsidR="00DD6139" w:rsidRPr="00DD6139" w:rsidRDefault="00DD6139" w:rsidP="00DD613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Symbol" w:eastAsia="Symbol" w:hAnsi="Symbol" w:cs="Symbol"/>
          <w:sz w:val="20"/>
          <w:szCs w:val="20"/>
          <w:lang w:eastAsia="es-AR"/>
        </w:rPr>
        <w:t></w:t>
      </w:r>
      <w:r w:rsidRPr="00DD6139">
        <w:rPr>
          <w:rFonts w:ascii="Times New Roman" w:eastAsia="Symbol" w:hAnsi="Times New Roman" w:cs="Times New Roman"/>
          <w:sz w:val="14"/>
          <w:szCs w:val="14"/>
          <w:lang w:eastAsia="es-AR"/>
        </w:rPr>
        <w:t xml:space="preserve">        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Al momento de la designación se tendrá preferencia y se priorizará a los concursantes con residencia comprobable en la Primera Circunscripción Judicial.-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 xml:space="preserve">El interesado debe pertenecer a la planta permanente (efectivo) del Poder Judicial, con una antigüedad mínima de 6(seis) meses en la misma.- 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Sobre los requisitos solicitados para el presente concurso, respecto a los estudios afines al cargo que se concursa, se requiere de forma excluyente, ser estudiante avanzado con 2° año aprobado como mínimo, de alguna carrera de Higiene y Seguridad Laboral, de nivel terciario o universitario.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Verdana" w:hAnsi="Verdana" w:cs="Verdana"/>
          <w:sz w:val="20"/>
          <w:szCs w:val="20"/>
          <w:lang w:eastAsia="es-AR"/>
        </w:rPr>
        <w:t>•</w:t>
      </w:r>
      <w:r w:rsidRPr="00DD6139">
        <w:rPr>
          <w:rFonts w:ascii="Times New Roman" w:eastAsia="Verdana" w:hAnsi="Times New Roman" w:cs="Times New Roman"/>
          <w:sz w:val="14"/>
          <w:szCs w:val="14"/>
          <w:lang w:eastAsia="es-AR"/>
        </w:rPr>
        <w:t xml:space="preserve">     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 xml:space="preserve">Por lo expresado se requiere que los interesados reúnan conocimientos suficientes sobre la resolución de problemas relacionados con el Servicio de Higiene y Seguridad Laboral, realizando y coordinando las tareas necesarias para el mantenimiento preventivo y la ejecución de trabajos de mantenimiento correctivo, de las distintas instalaciones y edificios sobre las que tiene competencia el Servicio. Entre sus funciones propias del cargo se encuentra la elaboración de Medidas de Prevención de accidentes y Procedimientos de trabajos en los edificios e instalaciones en general, supervisión e inspección de trabajos de obras y reparaciones edilicias, control de tareas, preparación de Licitaciones, Proyectos, </w:t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lastRenderedPageBreak/>
        <w:t>Cómputo y Presupuesto de las mismas, administrador de los recursos a su cargo. Elaboración de Programas de Seguridad, de Control de Siniestralidad y Accidentes, Planes de evacuación, según lo exigido en las normas y leyes de Higiene y Seguridad Laboral. Además deberá elaborar informes periódicos de las actividades realizadas.-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color w:val="FF0000"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u w:val="single"/>
          <w:lang w:eastAsia="es-AR"/>
        </w:rPr>
        <w:t>2- Evaluación de Antecedentes</w:t>
      </w:r>
      <w:r w:rsidRPr="00DD6139">
        <w:rPr>
          <w:rFonts w:ascii="Verdana" w:eastAsia="Times New Roman" w:hAnsi="Verdana" w:cs="Arial"/>
          <w:b/>
          <w:bCs/>
          <w:sz w:val="20"/>
          <w:szCs w:val="20"/>
          <w:lang w:eastAsia="es-AR"/>
        </w:rPr>
        <w:t>: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lang w:eastAsia="es-AR"/>
        </w:rPr>
        <w:tab/>
      </w:r>
      <w:r w:rsidRPr="00DD6139">
        <w:rPr>
          <w:rFonts w:ascii="Verdana" w:eastAsia="Times New Roman" w:hAnsi="Verdana" w:cs="Arial"/>
          <w:sz w:val="20"/>
          <w:szCs w:val="20"/>
          <w:lang w:eastAsia="es-AR"/>
        </w:rPr>
        <w:t>Una vez conformada el “Acta de Admisión”, se evaluarán los antecedentes de los postulantes considerando el puntaje que se detalla en la siguiente planilla: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lang w:eastAsia="es-AR"/>
        </w:rPr>
        <w:t> 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7"/>
        <w:gridCol w:w="1729"/>
      </w:tblGrid>
      <w:tr w:rsidR="00DD6139" w:rsidRPr="00DD6139" w:rsidTr="00DD6139">
        <w:trPr>
          <w:trHeight w:val="2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ES"/>
              </w:rPr>
              <w:t>PUNTAJE ANTECEDENTES</w:t>
            </w:r>
          </w:p>
        </w:tc>
      </w:tr>
      <w:tr w:rsidR="00DD6139" w:rsidRPr="00DD6139" w:rsidTr="00DD6139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ES"/>
              </w:rPr>
              <w:t>ÍTEMS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ES"/>
              </w:rPr>
              <w:t>Puntaje máx.</w:t>
            </w:r>
          </w:p>
        </w:tc>
      </w:tr>
      <w:tr w:rsidR="00DD6139" w:rsidRPr="00DD6139" w:rsidTr="00DD6139">
        <w:trPr>
          <w:trHeight w:val="12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Experiencia Laboral en funciones similares (Higiene y Seguridad) dentro del Poder Judicial.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0-15</w:t>
            </w:r>
          </w:p>
        </w:tc>
      </w:tr>
      <w:tr w:rsidR="00DD6139" w:rsidRPr="00DD6139" w:rsidTr="00DD6139">
        <w:trPr>
          <w:trHeight w:val="11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Experiencia Laboral en funciones similares (Higiene y Seguridad) fuera del Poder Judicial.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0-10</w:t>
            </w:r>
          </w:p>
        </w:tc>
      </w:tr>
      <w:tr w:rsidR="00DD6139" w:rsidRPr="00DD6139" w:rsidTr="00DD6139">
        <w:trPr>
          <w:trHeight w:val="6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Antecedentes de estudios cursados: Título Secundario.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0-5</w:t>
            </w:r>
          </w:p>
        </w:tc>
      </w:tr>
      <w:tr w:rsidR="00DD6139" w:rsidRPr="00DD6139" w:rsidTr="00DD6139">
        <w:trPr>
          <w:trHeight w:val="6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Antecedentes de estudios cursados: Título de Grado o Terciario.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0-10</w:t>
            </w:r>
          </w:p>
        </w:tc>
      </w:tr>
      <w:tr w:rsidR="00DD6139" w:rsidRPr="00DD6139" w:rsidTr="00DD6139">
        <w:trPr>
          <w:trHeight w:val="6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Cursos de Capacitación afines al cargo que se concursa (</w:t>
            </w:r>
            <w:proofErr w:type="spellStart"/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HyS</w:t>
            </w:r>
            <w:proofErr w:type="spellEnd"/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0-7</w:t>
            </w:r>
          </w:p>
        </w:tc>
      </w:tr>
      <w:tr w:rsidR="00DD6139" w:rsidRPr="00DD6139" w:rsidTr="00DD6139">
        <w:trPr>
          <w:trHeight w:val="6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Otros cursos: conocimientos de Informática (Procesador de texto y Planilla de Cálculo).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0-3</w:t>
            </w:r>
          </w:p>
        </w:tc>
      </w:tr>
      <w:tr w:rsidR="00DD6139" w:rsidRPr="00DD6139" w:rsidTr="00DD6139">
        <w:trPr>
          <w:trHeight w:val="4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 </w:t>
            </w:r>
            <w:r w:rsidRPr="00DD6139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0-50</w:t>
            </w:r>
          </w:p>
        </w:tc>
      </w:tr>
    </w:tbl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Times New Roman"/>
          <w:b/>
          <w:sz w:val="20"/>
          <w:szCs w:val="20"/>
          <w:lang w:eastAsia="es-AR"/>
        </w:rPr>
        <w:t>El puntaje obtenido será un valor que varía de 0 a 50 puntos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Cs/>
          <w:sz w:val="20"/>
          <w:szCs w:val="20"/>
          <w:lang w:val="es-MX" w:eastAsia="es-AR"/>
        </w:rPr>
        <w:lastRenderedPageBreak/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Cs/>
          <w:sz w:val="20"/>
          <w:szCs w:val="20"/>
          <w:lang w:val="es-MX" w:eastAsia="es-AR"/>
        </w:rPr>
        <w:t xml:space="preserve">El puntaje máximo de la evaluación de Antecedentes será de </w:t>
      </w:r>
      <w:r w:rsidRPr="00DD6139">
        <w:rPr>
          <w:rFonts w:ascii="Verdana" w:eastAsia="Times New Roman" w:hAnsi="Verdana" w:cs="Arial"/>
          <w:b/>
          <w:bCs/>
          <w:sz w:val="20"/>
          <w:szCs w:val="20"/>
          <w:lang w:val="es-MX" w:eastAsia="es-AR"/>
        </w:rPr>
        <w:t>50</w:t>
      </w:r>
      <w:r w:rsidRPr="00DD6139">
        <w:rPr>
          <w:rFonts w:ascii="Verdana" w:eastAsia="Times New Roman" w:hAnsi="Verdana" w:cs="Arial"/>
          <w:bCs/>
          <w:sz w:val="20"/>
          <w:szCs w:val="20"/>
          <w:lang w:val="es-MX" w:eastAsia="es-AR"/>
        </w:rPr>
        <w:t xml:space="preserve"> </w:t>
      </w:r>
      <w:r w:rsidRPr="00DD6139">
        <w:rPr>
          <w:rFonts w:ascii="Verdana" w:eastAsia="Times New Roman" w:hAnsi="Verdana" w:cs="Arial"/>
          <w:b/>
          <w:bCs/>
          <w:sz w:val="20"/>
          <w:szCs w:val="20"/>
          <w:lang w:val="es-MX" w:eastAsia="es-AR"/>
        </w:rPr>
        <w:t>(cincuenta)</w:t>
      </w:r>
      <w:r w:rsidRPr="00DD6139">
        <w:rPr>
          <w:rFonts w:ascii="Verdana" w:eastAsia="Times New Roman" w:hAnsi="Verdana" w:cs="Arial"/>
          <w:bCs/>
          <w:sz w:val="20"/>
          <w:szCs w:val="20"/>
          <w:lang w:val="es-MX" w:eastAsia="es-AR"/>
        </w:rPr>
        <w:t xml:space="preserve"> puntos, siendo la calificación mínima para aprobar </w:t>
      </w:r>
      <w:r w:rsidRPr="00DD6139">
        <w:rPr>
          <w:rFonts w:ascii="Verdana" w:eastAsia="Times New Roman" w:hAnsi="Verdana" w:cs="Arial"/>
          <w:b/>
          <w:bCs/>
          <w:sz w:val="20"/>
          <w:szCs w:val="20"/>
          <w:lang w:val="es-MX" w:eastAsia="es-AR"/>
        </w:rPr>
        <w:t>25 (veinticinco)</w:t>
      </w:r>
      <w:r w:rsidRPr="00DD6139">
        <w:rPr>
          <w:rFonts w:ascii="Verdana" w:eastAsia="Times New Roman" w:hAnsi="Verdana" w:cs="Arial"/>
          <w:bCs/>
          <w:sz w:val="20"/>
          <w:szCs w:val="20"/>
          <w:lang w:val="es-MX" w:eastAsia="es-AR"/>
        </w:rPr>
        <w:t xml:space="preserve"> puntos del total.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Cs/>
          <w:sz w:val="20"/>
          <w:szCs w:val="20"/>
          <w:lang w:val="es-MX"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i/>
          <w:sz w:val="20"/>
          <w:szCs w:val="20"/>
          <w:lang w:eastAsia="es-AR"/>
        </w:rPr>
        <w:t>La evaluación de Antecedentes tendrá carácter de eliminatoria.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Cs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>Se deberá presentar comprobante del/los títulos que posea, con indicación de fechas y entidades otorgantes, sino no se otorgará puntaje.-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>En caso de los estudios en curso, en carreras terciarias o de grado afines al cargo que se concursa, se deberá presentar el Certificado Analítico de las materias aprobadas, realizada y emitidas por Autoridad Competente de la Entidad Educativa.-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>Con respecto a los cursos de capacitación realizados, afines al cargo que se concursa, se debe adjuntar fotocopias o comprobante de las respectivas certificaciones, de lo contrario no se reconocerá puntaje.-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>De igual manera, respecto al ítem respecto a la experiencia laboral, dentro y fuera del Poder Judicial, se deberá adjuntar comprobante de las funciones y trabajos afines al cargo que se concursa, del correspondiente empleador o Empresa, o jefe del Sector o Departamento, sino no se otorgará puntaje.-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>Finalmente, el cuadro resumen final será la siguiente:</w:t>
      </w:r>
    </w:p>
    <w:p w:rsidR="00DD6139" w:rsidRPr="00DD6139" w:rsidRDefault="00DD6139" w:rsidP="00DD613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3383"/>
      </w:tblGrid>
      <w:tr w:rsidR="00DD6139" w:rsidRPr="00DD6139" w:rsidTr="00DD6139">
        <w:trPr>
          <w:trHeight w:val="20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ES"/>
              </w:rPr>
              <w:t>PUNTAJE TOTAL: EVALUACIÓN ANTECEDENTES</w:t>
            </w:r>
          </w:p>
        </w:tc>
      </w:tr>
      <w:tr w:rsidR="00DD6139" w:rsidRPr="00DD6139" w:rsidTr="00DD6139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ES"/>
              </w:rPr>
              <w:t>ÍTEMS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ES"/>
              </w:rPr>
              <w:t xml:space="preserve">Puntaje </w:t>
            </w:r>
            <w:proofErr w:type="spellStart"/>
            <w:r w:rsidRPr="00DD613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ES"/>
              </w:rPr>
              <w:t>máx</w:t>
            </w:r>
            <w:proofErr w:type="spellEnd"/>
          </w:p>
        </w:tc>
      </w:tr>
      <w:tr w:rsidR="00DD6139" w:rsidRPr="00DD6139" w:rsidTr="00DD6139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Antecedentes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sz w:val="24"/>
                <w:szCs w:val="24"/>
                <w:lang w:eastAsia="es-ES"/>
              </w:rPr>
              <w:t>0-50</w:t>
            </w:r>
          </w:p>
        </w:tc>
      </w:tr>
      <w:tr w:rsidR="00DD6139" w:rsidRPr="00DD6139" w:rsidTr="00DD613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139" w:rsidRPr="00DD6139" w:rsidRDefault="00DD6139" w:rsidP="00DD6139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6139">
              <w:rPr>
                <w:rFonts w:ascii="Verdana" w:eastAsia="Times New Roman" w:hAnsi="Verdana" w:cs="Arial"/>
                <w:b/>
                <w:sz w:val="24"/>
                <w:szCs w:val="24"/>
                <w:lang w:eastAsia="es-ES"/>
              </w:rPr>
              <w:t>0-50</w:t>
            </w:r>
          </w:p>
        </w:tc>
      </w:tr>
    </w:tbl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u w:val="single"/>
          <w:lang w:eastAsia="es-AR"/>
        </w:rPr>
        <w:lastRenderedPageBreak/>
        <w:t>3- Evaluación psicofísica laboral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Arial"/>
          <w:b/>
          <w:bCs/>
          <w:sz w:val="20"/>
          <w:szCs w:val="20"/>
          <w:lang w:eastAsia="es-AR"/>
        </w:rPr>
        <w:t> </w:t>
      </w:r>
    </w:p>
    <w:p w:rsidR="00DD6139" w:rsidRPr="00DD6139" w:rsidRDefault="00DD6139" w:rsidP="00DD61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ab/>
      </w:r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 xml:space="preserve">A los postulantes que hayan pasado la etapa anterior, se les realizará la evaluación psicofísica laboral por parte de los profesionales del Área </w:t>
      </w:r>
      <w:proofErr w:type="spellStart"/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>Psicolaboral</w:t>
      </w:r>
      <w:proofErr w:type="spellEnd"/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de la Dirección de Recursos Humanos. El objetivo es determinar si el aspirante posee los "requisitos </w:t>
      </w:r>
      <w:proofErr w:type="spellStart"/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>aptitudinales</w:t>
      </w:r>
      <w:proofErr w:type="spellEnd"/>
      <w:r w:rsidRPr="00DD6139">
        <w:rPr>
          <w:rFonts w:ascii="Verdana" w:eastAsia="Times New Roman" w:hAnsi="Verdana" w:cs="Times New Roman"/>
          <w:sz w:val="20"/>
          <w:szCs w:val="20"/>
          <w:lang w:eastAsia="es-AR"/>
        </w:rPr>
        <w:t xml:space="preserve"> y actitudinales" para el cumplimiento de las tareas y funciones propias del Cargo concursado. </w:t>
      </w:r>
    </w:p>
    <w:p w:rsidR="00DD6139" w:rsidRPr="00DD6139" w:rsidRDefault="00DD6139" w:rsidP="00DD6139">
      <w:pPr>
        <w:tabs>
          <w:tab w:val="left" w:pos="-1440"/>
          <w:tab w:val="left" w:pos="-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D6139">
        <w:rPr>
          <w:rFonts w:ascii="Verdana" w:eastAsia="Times New Roman" w:hAnsi="Verdana" w:cs="Times New Roman"/>
          <w:sz w:val="24"/>
          <w:szCs w:val="24"/>
          <w:lang w:val="es-ES_tradnl" w:eastAsia="es-AR"/>
        </w:rPr>
        <w:t> </w:t>
      </w:r>
    </w:p>
    <w:p w:rsidR="000072F0" w:rsidRDefault="00DD6139"/>
    <w:sectPr w:rsidR="000072F0" w:rsidSect="00DD6139">
      <w:pgSz w:w="12240" w:h="15840"/>
      <w:pgMar w:top="851" w:right="118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39"/>
    <w:rsid w:val="0016599C"/>
    <w:rsid w:val="00A24744"/>
    <w:rsid w:val="00D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basedOn w:val="Normal"/>
    <w:rsid w:val="00DD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basedOn w:val="Normal"/>
    <w:rsid w:val="00DD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dzaera</dc:creator>
  <cp:lastModifiedBy>dzaera</cp:lastModifiedBy>
  <cp:revision>1</cp:revision>
  <dcterms:created xsi:type="dcterms:W3CDTF">2016-08-26T15:49:00Z</dcterms:created>
  <dcterms:modified xsi:type="dcterms:W3CDTF">2016-08-26T15:52:00Z</dcterms:modified>
</cp:coreProperties>
</file>